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C9E3" w14:textId="5FC1D32C" w:rsidR="00C11B74" w:rsidRDefault="00EF4AEB" w:rsidP="00D86959">
      <w:pPr>
        <w:pStyle w:val="Heading1"/>
      </w:pPr>
      <w:bookmarkStart w:id="0" w:name="_GoBack"/>
      <w:bookmarkEnd w:id="0"/>
      <w:r>
        <w:t>Unit Modes of Delivery and Unit Levels</w:t>
      </w:r>
    </w:p>
    <w:p w14:paraId="469509BB" w14:textId="77777777" w:rsidR="00EF4AEB" w:rsidRPr="00A76785" w:rsidRDefault="00EF4AEB" w:rsidP="00EF4AEB">
      <w:pPr>
        <w:pStyle w:val="Heading2"/>
      </w:pPr>
      <w:r w:rsidRPr="00A76785">
        <w:t xml:space="preserve">Main Mode of Delivery </w:t>
      </w:r>
      <w:r>
        <w:t>t</w:t>
      </w:r>
      <w:r w:rsidRPr="00A76785">
        <w:t>itles</w:t>
      </w:r>
    </w:p>
    <w:p w14:paraId="5EA315EF" w14:textId="77777777" w:rsidR="00EF4AEB" w:rsidRDefault="00EF4AEB" w:rsidP="00EF4AEB">
      <w:r>
        <w:t>UC</w:t>
      </w:r>
      <w:r w:rsidRPr="00A76785">
        <w:t xml:space="preserve"> </w:t>
      </w:r>
      <w:r>
        <w:t>has adopted</w:t>
      </w:r>
      <w:r w:rsidRPr="00A76785">
        <w:t xml:space="preserve"> six main modes of delivery titles for its units, with additional titles to be used for units with specialist requirements.</w:t>
      </w:r>
    </w:p>
    <w:p w14:paraId="318D6B36" w14:textId="77777777" w:rsidR="00EF4AEB" w:rsidRPr="00E72A73" w:rsidRDefault="00EF4AEB" w:rsidP="00EF4AEB">
      <w:r w:rsidRPr="00A76785">
        <w:t>In the context below ‘on-campus’ will be determined by the unit offering’s location of delivery and might be Canberra, another Australian location or an offshore location.</w:t>
      </w:r>
    </w:p>
    <w:p w14:paraId="2E439B52" w14:textId="7F3F3D2C" w:rsidR="00EF4AEB" w:rsidRPr="00E72A73" w:rsidRDefault="00EF4AEB" w:rsidP="00EF4AEB">
      <w:r w:rsidRPr="00A76785">
        <w:t xml:space="preserve">It is </w:t>
      </w:r>
      <w:r>
        <w:t>expected</w:t>
      </w:r>
      <w:r w:rsidRPr="00A76785">
        <w:t xml:space="preserve"> that modes of delivery mapping to the government code of ‘Internal’ will be designed by unit conveners to meet the face-to-face definitions in the ESOS req</w:t>
      </w:r>
      <w:r>
        <w:t>uirements.</w:t>
      </w:r>
      <w:r w:rsidRPr="00A76785">
        <w:t xml:space="preserve"> Government codes have been suggested on this basis.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3856"/>
        <w:gridCol w:w="1843"/>
      </w:tblGrid>
      <w:tr w:rsidR="00EF4AEB" w:rsidRPr="00E72A73" w14:paraId="04A838FB" w14:textId="77777777" w:rsidTr="00EF4AEB">
        <w:trPr>
          <w:trHeight w:val="475"/>
        </w:trPr>
        <w:tc>
          <w:tcPr>
            <w:tcW w:w="1101" w:type="dxa"/>
            <w:shd w:val="clear" w:color="auto" w:fill="DBE5F1"/>
          </w:tcPr>
          <w:p w14:paraId="72AA6B48" w14:textId="77777777" w:rsidR="00EF4AEB" w:rsidRPr="00E72A73" w:rsidRDefault="00EF4AEB" w:rsidP="00D2479F">
            <w:pPr>
              <w:rPr>
                <w:b/>
                <w:szCs w:val="20"/>
              </w:rPr>
            </w:pPr>
            <w:r w:rsidRPr="00E72A73">
              <w:rPr>
                <w:b/>
                <w:szCs w:val="20"/>
              </w:rPr>
              <w:t>Title</w:t>
            </w:r>
          </w:p>
        </w:tc>
        <w:tc>
          <w:tcPr>
            <w:tcW w:w="3118" w:type="dxa"/>
            <w:shd w:val="clear" w:color="auto" w:fill="DBE5F1"/>
          </w:tcPr>
          <w:p w14:paraId="0EE2A8D6" w14:textId="77777777" w:rsidR="00EF4AEB" w:rsidRPr="00E72A73" w:rsidRDefault="00EF4AEB" w:rsidP="00D2479F">
            <w:pPr>
              <w:rPr>
                <w:b/>
                <w:szCs w:val="20"/>
              </w:rPr>
            </w:pPr>
            <w:r w:rsidRPr="00E72A73">
              <w:rPr>
                <w:b/>
                <w:szCs w:val="20"/>
              </w:rPr>
              <w:t>Description (for unit website)</w:t>
            </w:r>
          </w:p>
        </w:tc>
        <w:tc>
          <w:tcPr>
            <w:tcW w:w="3856" w:type="dxa"/>
            <w:shd w:val="clear" w:color="auto" w:fill="DBE5F1"/>
          </w:tcPr>
          <w:p w14:paraId="2873E100" w14:textId="77777777" w:rsidR="00EF4AEB" w:rsidRPr="00E72A73" w:rsidRDefault="00EF4AEB" w:rsidP="00D2479F">
            <w:pPr>
              <w:rPr>
                <w:b/>
                <w:szCs w:val="20"/>
              </w:rPr>
            </w:pPr>
            <w:r w:rsidRPr="00E72A73">
              <w:rPr>
                <w:b/>
                <w:szCs w:val="20"/>
              </w:rPr>
              <w:t>Full Description</w:t>
            </w:r>
          </w:p>
        </w:tc>
        <w:tc>
          <w:tcPr>
            <w:tcW w:w="1843" w:type="dxa"/>
            <w:shd w:val="clear" w:color="auto" w:fill="DBE5F1"/>
          </w:tcPr>
          <w:p w14:paraId="008B8CE1" w14:textId="58E89CD4" w:rsidR="00EF4AEB" w:rsidRPr="00E72A73" w:rsidRDefault="00EF4AEB" w:rsidP="00D2479F">
            <w:pPr>
              <w:rPr>
                <w:b/>
                <w:szCs w:val="20"/>
              </w:rPr>
            </w:pPr>
            <w:r w:rsidRPr="00E72A73">
              <w:rPr>
                <w:b/>
                <w:szCs w:val="20"/>
              </w:rPr>
              <w:t>Government code</w:t>
            </w:r>
          </w:p>
        </w:tc>
      </w:tr>
      <w:tr w:rsidR="00EF4AEB" w:rsidRPr="00A76785" w14:paraId="5871F1E7" w14:textId="77777777" w:rsidTr="00EF4AEB">
        <w:tc>
          <w:tcPr>
            <w:tcW w:w="1101" w:type="dxa"/>
            <w:shd w:val="clear" w:color="auto" w:fill="auto"/>
          </w:tcPr>
          <w:p w14:paraId="449EB33A" w14:textId="77777777" w:rsidR="00EF4AEB" w:rsidRPr="00E72A73" w:rsidRDefault="00EF4AEB" w:rsidP="00D2479F">
            <w:pPr>
              <w:rPr>
                <w:rFonts w:cs="Arial"/>
                <w:b/>
                <w:szCs w:val="20"/>
              </w:rPr>
            </w:pPr>
            <w:r w:rsidRPr="00E72A73">
              <w:rPr>
                <w:rFonts w:cs="Arial"/>
                <w:szCs w:val="20"/>
              </w:rPr>
              <w:t>On campus</w:t>
            </w:r>
          </w:p>
        </w:tc>
        <w:tc>
          <w:tcPr>
            <w:tcW w:w="3118" w:type="dxa"/>
            <w:shd w:val="clear" w:color="auto" w:fill="auto"/>
          </w:tcPr>
          <w:p w14:paraId="174E8655" w14:textId="77777777" w:rsidR="00EF4AEB" w:rsidRPr="00E72A73" w:rsidRDefault="00EF4AEB" w:rsidP="00D2479F">
            <w:pPr>
              <w:rPr>
                <w:rFonts w:cs="Arial"/>
                <w:b/>
                <w:szCs w:val="20"/>
              </w:rPr>
            </w:pPr>
            <w:r w:rsidRPr="00E72A73">
              <w:rPr>
                <w:rFonts w:cs="Arial"/>
                <w:szCs w:val="20"/>
              </w:rPr>
              <w:t xml:space="preserve">On-campus attendance (expected) and online content </w:t>
            </w:r>
          </w:p>
        </w:tc>
        <w:tc>
          <w:tcPr>
            <w:tcW w:w="3856" w:type="dxa"/>
            <w:shd w:val="clear" w:color="auto" w:fill="auto"/>
          </w:tcPr>
          <w:p w14:paraId="3A841F54" w14:textId="77777777" w:rsidR="00EF4AEB" w:rsidRPr="00E72A73" w:rsidRDefault="00EF4AEB" w:rsidP="00D2479F">
            <w:pPr>
              <w:rPr>
                <w:rFonts w:cs="Arial"/>
                <w:b/>
                <w:szCs w:val="20"/>
              </w:rPr>
            </w:pPr>
            <w:r w:rsidRPr="00E72A73">
              <w:rPr>
                <w:rFonts w:cs="Arial"/>
                <w:szCs w:val="20"/>
              </w:rPr>
              <w:t>Regular on-campus attendance is expected, with online content support provided.</w:t>
            </w:r>
          </w:p>
        </w:tc>
        <w:tc>
          <w:tcPr>
            <w:tcW w:w="1843" w:type="dxa"/>
            <w:shd w:val="clear" w:color="auto" w:fill="auto"/>
          </w:tcPr>
          <w:p w14:paraId="79B2B90C" w14:textId="77777777" w:rsidR="00EF4AEB" w:rsidRPr="00E72A73" w:rsidRDefault="00EF4AEB" w:rsidP="00D2479F">
            <w:pPr>
              <w:rPr>
                <w:rFonts w:cs="Arial"/>
                <w:b/>
                <w:szCs w:val="20"/>
              </w:rPr>
            </w:pPr>
            <w:r w:rsidRPr="00E72A73">
              <w:rPr>
                <w:rFonts w:cs="Arial"/>
                <w:szCs w:val="20"/>
              </w:rPr>
              <w:t>Internal</w:t>
            </w:r>
          </w:p>
        </w:tc>
      </w:tr>
      <w:tr w:rsidR="00785968" w:rsidRPr="00A76785" w14:paraId="09B2369D" w14:textId="77777777" w:rsidTr="00EF4AEB">
        <w:tc>
          <w:tcPr>
            <w:tcW w:w="1101" w:type="dxa"/>
            <w:shd w:val="clear" w:color="auto" w:fill="auto"/>
          </w:tcPr>
          <w:p w14:paraId="2659FE2A" w14:textId="29D7CBC9" w:rsidR="00785968" w:rsidRPr="00E72A73" w:rsidRDefault="00785968" w:rsidP="00785968">
            <w:pPr>
              <w:rPr>
                <w:rFonts w:cs="Arial"/>
                <w:b/>
                <w:szCs w:val="20"/>
              </w:rPr>
            </w:pPr>
            <w:r w:rsidRPr="00E72A73">
              <w:rPr>
                <w:rFonts w:cs="Arial"/>
                <w:szCs w:val="20"/>
              </w:rPr>
              <w:t>Flexible</w:t>
            </w:r>
            <w:r>
              <w:rPr>
                <w:rFonts w:cs="Arial"/>
                <w:szCs w:val="20"/>
              </w:rPr>
              <w:t>*</w:t>
            </w:r>
          </w:p>
        </w:tc>
        <w:tc>
          <w:tcPr>
            <w:tcW w:w="3118" w:type="dxa"/>
            <w:shd w:val="clear" w:color="auto" w:fill="auto"/>
          </w:tcPr>
          <w:p w14:paraId="65786387" w14:textId="188509AD" w:rsidR="00785968" w:rsidRPr="00E72A73" w:rsidRDefault="00785968" w:rsidP="00785968">
            <w:pPr>
              <w:rPr>
                <w:rFonts w:cs="Arial"/>
                <w:b/>
                <w:szCs w:val="20"/>
              </w:rPr>
            </w:pPr>
            <w:r w:rsidRPr="00785968">
              <w:rPr>
                <w:rFonts w:cs="Arial"/>
                <w:szCs w:val="20"/>
              </w:rPr>
              <w:t>On-campus activities and online content options</w:t>
            </w:r>
          </w:p>
        </w:tc>
        <w:tc>
          <w:tcPr>
            <w:tcW w:w="3856" w:type="dxa"/>
            <w:shd w:val="clear" w:color="auto" w:fill="auto"/>
          </w:tcPr>
          <w:p w14:paraId="568F1CD1" w14:textId="62A436B4" w:rsidR="00785968" w:rsidRPr="00E72A73" w:rsidRDefault="00785968" w:rsidP="00785968">
            <w:pPr>
              <w:rPr>
                <w:rFonts w:cs="Arial"/>
                <w:b/>
                <w:szCs w:val="20"/>
              </w:rPr>
            </w:pPr>
            <w:r w:rsidRPr="00785968">
              <w:rPr>
                <w:rFonts w:cs="Arial"/>
                <w:szCs w:val="20"/>
              </w:rPr>
              <w:t>On-campus activities and online materials are both available. On campus attendance may be required for specific activities.</w:t>
            </w:r>
          </w:p>
        </w:tc>
        <w:tc>
          <w:tcPr>
            <w:tcW w:w="1843" w:type="dxa"/>
            <w:shd w:val="clear" w:color="auto" w:fill="auto"/>
          </w:tcPr>
          <w:p w14:paraId="4B51518C" w14:textId="77777777" w:rsidR="00785968" w:rsidRPr="00E72A73" w:rsidRDefault="00785968" w:rsidP="00785968">
            <w:pPr>
              <w:rPr>
                <w:rFonts w:cs="Arial"/>
                <w:b/>
                <w:szCs w:val="20"/>
              </w:rPr>
            </w:pPr>
            <w:r w:rsidRPr="00E72A73">
              <w:rPr>
                <w:rFonts w:cs="Arial"/>
                <w:szCs w:val="20"/>
              </w:rPr>
              <w:t>Multi-mode</w:t>
            </w:r>
          </w:p>
        </w:tc>
      </w:tr>
      <w:tr w:rsidR="00EF4AEB" w:rsidRPr="00A76785" w14:paraId="7F2D8DA3" w14:textId="77777777" w:rsidTr="00EF4AEB">
        <w:tc>
          <w:tcPr>
            <w:tcW w:w="1101" w:type="dxa"/>
            <w:shd w:val="clear" w:color="auto" w:fill="auto"/>
          </w:tcPr>
          <w:p w14:paraId="14E5D4D8" w14:textId="77777777" w:rsidR="00EF4AEB" w:rsidRPr="00E72A73" w:rsidRDefault="00EF4AEB" w:rsidP="00D2479F">
            <w:pPr>
              <w:rPr>
                <w:rFonts w:cs="Arial"/>
                <w:b/>
                <w:szCs w:val="20"/>
              </w:rPr>
            </w:pPr>
            <w:r w:rsidRPr="00E72A73">
              <w:rPr>
                <w:rFonts w:cs="Arial"/>
                <w:szCs w:val="20"/>
              </w:rPr>
              <w:t>Online</w:t>
            </w:r>
          </w:p>
        </w:tc>
        <w:tc>
          <w:tcPr>
            <w:tcW w:w="3118" w:type="dxa"/>
            <w:shd w:val="clear" w:color="auto" w:fill="auto"/>
          </w:tcPr>
          <w:p w14:paraId="50231199" w14:textId="77777777" w:rsidR="00EF4AEB" w:rsidRPr="00E72A73" w:rsidRDefault="00EF4AEB" w:rsidP="00D2479F">
            <w:pPr>
              <w:rPr>
                <w:rFonts w:cs="Arial"/>
                <w:b/>
                <w:szCs w:val="20"/>
              </w:rPr>
            </w:pPr>
            <w:r w:rsidRPr="00E72A73">
              <w:rPr>
                <w:rFonts w:cs="Arial"/>
                <w:szCs w:val="20"/>
              </w:rPr>
              <w:t>All content is delivered online</w:t>
            </w:r>
          </w:p>
        </w:tc>
        <w:tc>
          <w:tcPr>
            <w:tcW w:w="3856" w:type="dxa"/>
            <w:shd w:val="clear" w:color="auto" w:fill="auto"/>
          </w:tcPr>
          <w:p w14:paraId="6C66FE16" w14:textId="77777777" w:rsidR="00EF4AEB" w:rsidRPr="00E72A73" w:rsidRDefault="00EF4AEB" w:rsidP="00D2479F">
            <w:pPr>
              <w:rPr>
                <w:rFonts w:cs="Arial"/>
                <w:b/>
                <w:szCs w:val="20"/>
              </w:rPr>
            </w:pPr>
            <w:r w:rsidRPr="00E72A73">
              <w:rPr>
                <w:rFonts w:cs="Arial"/>
                <w:szCs w:val="20"/>
              </w:rPr>
              <w:t xml:space="preserve">Content is delivered entirely </w:t>
            </w:r>
            <w:proofErr w:type="gramStart"/>
            <w:r w:rsidRPr="00E72A73">
              <w:rPr>
                <w:rFonts w:cs="Arial"/>
                <w:szCs w:val="20"/>
              </w:rPr>
              <w:t>online</w:t>
            </w:r>
            <w:proofErr w:type="gramEnd"/>
            <w:r w:rsidRPr="00E72A73">
              <w:rPr>
                <w:rFonts w:cs="Arial"/>
                <w:szCs w:val="20"/>
              </w:rPr>
              <w:t xml:space="preserve"> so on-campus attendance is not required.</w:t>
            </w:r>
          </w:p>
        </w:tc>
        <w:tc>
          <w:tcPr>
            <w:tcW w:w="1843" w:type="dxa"/>
            <w:shd w:val="clear" w:color="auto" w:fill="auto"/>
          </w:tcPr>
          <w:p w14:paraId="462E7439" w14:textId="77777777" w:rsidR="00EF4AEB" w:rsidRPr="00E72A73" w:rsidRDefault="00EF4AEB" w:rsidP="00D2479F">
            <w:pPr>
              <w:rPr>
                <w:rFonts w:cs="Arial"/>
                <w:b/>
                <w:szCs w:val="20"/>
              </w:rPr>
            </w:pPr>
            <w:r w:rsidRPr="00E72A73">
              <w:rPr>
                <w:rFonts w:cs="Arial"/>
                <w:szCs w:val="20"/>
              </w:rPr>
              <w:t>External</w:t>
            </w:r>
          </w:p>
        </w:tc>
      </w:tr>
      <w:tr w:rsidR="00EF4AEB" w:rsidRPr="00A76785" w14:paraId="27B494A9" w14:textId="77777777" w:rsidTr="00EF4AEB">
        <w:tc>
          <w:tcPr>
            <w:tcW w:w="1101" w:type="dxa"/>
            <w:shd w:val="clear" w:color="auto" w:fill="auto"/>
          </w:tcPr>
          <w:p w14:paraId="119FABBD" w14:textId="77777777" w:rsidR="00EF4AEB" w:rsidRPr="00E72A73" w:rsidRDefault="00EF4AEB" w:rsidP="00D2479F">
            <w:pPr>
              <w:rPr>
                <w:rFonts w:cs="Arial"/>
                <w:b/>
                <w:szCs w:val="20"/>
              </w:rPr>
            </w:pPr>
            <w:r w:rsidRPr="00E72A73">
              <w:rPr>
                <w:rFonts w:cs="Arial"/>
                <w:szCs w:val="20"/>
              </w:rPr>
              <w:t>Intensive</w:t>
            </w:r>
          </w:p>
        </w:tc>
        <w:tc>
          <w:tcPr>
            <w:tcW w:w="3118" w:type="dxa"/>
            <w:shd w:val="clear" w:color="auto" w:fill="auto"/>
          </w:tcPr>
          <w:p w14:paraId="358C3F83" w14:textId="77777777" w:rsidR="00EF4AEB" w:rsidRPr="00E72A73" w:rsidRDefault="00EF4AEB" w:rsidP="00D2479F">
            <w:pPr>
              <w:rPr>
                <w:rFonts w:cs="Arial"/>
                <w:b/>
                <w:szCs w:val="20"/>
              </w:rPr>
            </w:pPr>
            <w:r w:rsidRPr="00E72A73">
              <w:rPr>
                <w:rFonts w:cs="Arial"/>
                <w:szCs w:val="20"/>
              </w:rPr>
              <w:t>On-campus attendance is expected in set time blocks</w:t>
            </w:r>
          </w:p>
        </w:tc>
        <w:tc>
          <w:tcPr>
            <w:tcW w:w="3856" w:type="dxa"/>
            <w:shd w:val="clear" w:color="auto" w:fill="auto"/>
          </w:tcPr>
          <w:p w14:paraId="606D53DD" w14:textId="77777777" w:rsidR="00EF4AEB" w:rsidRPr="00E72A73" w:rsidRDefault="00EF4AEB" w:rsidP="00D2479F">
            <w:pPr>
              <w:rPr>
                <w:rFonts w:cs="Arial"/>
                <w:b/>
                <w:szCs w:val="20"/>
              </w:rPr>
            </w:pPr>
            <w:r w:rsidRPr="00E72A73">
              <w:rPr>
                <w:rFonts w:cs="Arial"/>
                <w:szCs w:val="20"/>
              </w:rPr>
              <w:t>On-campus attendance is expected in set time blocks, with online content support provided.</w:t>
            </w:r>
          </w:p>
        </w:tc>
        <w:tc>
          <w:tcPr>
            <w:tcW w:w="1843" w:type="dxa"/>
            <w:shd w:val="clear" w:color="auto" w:fill="auto"/>
          </w:tcPr>
          <w:p w14:paraId="5D3725DE" w14:textId="77777777" w:rsidR="00EF4AEB" w:rsidRPr="00E72A73" w:rsidRDefault="00EF4AEB" w:rsidP="00D2479F">
            <w:pPr>
              <w:rPr>
                <w:rFonts w:cs="Arial"/>
                <w:b/>
                <w:szCs w:val="20"/>
              </w:rPr>
            </w:pPr>
            <w:r w:rsidRPr="00E72A73">
              <w:rPr>
                <w:rFonts w:cs="Arial"/>
                <w:szCs w:val="20"/>
              </w:rPr>
              <w:t>Internal</w:t>
            </w:r>
          </w:p>
        </w:tc>
      </w:tr>
      <w:tr w:rsidR="00EF4AEB" w:rsidRPr="00A76785" w14:paraId="006AA047" w14:textId="77777777" w:rsidTr="00EF4AEB">
        <w:tc>
          <w:tcPr>
            <w:tcW w:w="1101" w:type="dxa"/>
            <w:shd w:val="clear" w:color="auto" w:fill="auto"/>
          </w:tcPr>
          <w:p w14:paraId="55B7D728" w14:textId="77777777" w:rsidR="00EF4AEB" w:rsidRPr="00E72A73" w:rsidRDefault="00EF4AEB" w:rsidP="00D2479F">
            <w:pPr>
              <w:rPr>
                <w:rFonts w:cs="Arial"/>
                <w:b/>
                <w:szCs w:val="20"/>
              </w:rPr>
            </w:pPr>
            <w:r w:rsidRPr="00E72A73">
              <w:rPr>
                <w:rFonts w:cs="Arial"/>
                <w:szCs w:val="20"/>
              </w:rPr>
              <w:t>Self-paced</w:t>
            </w:r>
          </w:p>
        </w:tc>
        <w:tc>
          <w:tcPr>
            <w:tcW w:w="3118" w:type="dxa"/>
            <w:shd w:val="clear" w:color="auto" w:fill="auto"/>
          </w:tcPr>
          <w:p w14:paraId="08C6097A" w14:textId="77777777" w:rsidR="00EF4AEB" w:rsidRPr="00E72A73" w:rsidRDefault="00EF4AEB" w:rsidP="00D2479F">
            <w:pPr>
              <w:rPr>
                <w:rFonts w:cs="Arial"/>
                <w:b/>
                <w:szCs w:val="20"/>
              </w:rPr>
            </w:pPr>
            <w:r w:rsidRPr="00E72A73">
              <w:rPr>
                <w:rFonts w:cs="Arial"/>
                <w:szCs w:val="20"/>
              </w:rPr>
              <w:t>All content is delivered online and is completed self-paced</w:t>
            </w:r>
          </w:p>
        </w:tc>
        <w:tc>
          <w:tcPr>
            <w:tcW w:w="3856" w:type="dxa"/>
            <w:shd w:val="clear" w:color="auto" w:fill="auto"/>
          </w:tcPr>
          <w:p w14:paraId="30664F09" w14:textId="77777777" w:rsidR="00EF4AEB" w:rsidRPr="00E72A73" w:rsidRDefault="00EF4AEB" w:rsidP="00D2479F">
            <w:pPr>
              <w:rPr>
                <w:rFonts w:cs="Arial"/>
                <w:b/>
                <w:szCs w:val="20"/>
              </w:rPr>
            </w:pPr>
            <w:r w:rsidRPr="00E72A73">
              <w:rPr>
                <w:rFonts w:cs="Arial"/>
                <w:szCs w:val="20"/>
              </w:rPr>
              <w:t>Content is delivered entirely online and can be completed at the student’s own pace.</w:t>
            </w:r>
          </w:p>
        </w:tc>
        <w:tc>
          <w:tcPr>
            <w:tcW w:w="1843" w:type="dxa"/>
            <w:shd w:val="clear" w:color="auto" w:fill="auto"/>
          </w:tcPr>
          <w:p w14:paraId="5FF2CB35" w14:textId="77777777" w:rsidR="00EF4AEB" w:rsidRPr="00E72A73" w:rsidRDefault="00EF4AEB" w:rsidP="00D2479F">
            <w:pPr>
              <w:rPr>
                <w:rFonts w:cs="Arial"/>
                <w:b/>
                <w:szCs w:val="20"/>
              </w:rPr>
            </w:pPr>
            <w:r w:rsidRPr="00E72A73">
              <w:rPr>
                <w:rFonts w:cs="Arial"/>
                <w:szCs w:val="20"/>
              </w:rPr>
              <w:t>External</w:t>
            </w:r>
          </w:p>
        </w:tc>
      </w:tr>
      <w:tr w:rsidR="00EF4AEB" w:rsidRPr="00A76785" w14:paraId="472BD7D0" w14:textId="77777777" w:rsidTr="00EF4AEB">
        <w:trPr>
          <w:trHeight w:val="63"/>
        </w:trPr>
        <w:tc>
          <w:tcPr>
            <w:tcW w:w="1101" w:type="dxa"/>
            <w:shd w:val="clear" w:color="auto" w:fill="auto"/>
          </w:tcPr>
          <w:p w14:paraId="1593661D" w14:textId="77777777" w:rsidR="00EF4AEB" w:rsidRPr="00E72A73" w:rsidRDefault="00EF4AEB" w:rsidP="00D2479F">
            <w:pPr>
              <w:rPr>
                <w:rFonts w:cs="Arial"/>
                <w:b/>
                <w:szCs w:val="20"/>
              </w:rPr>
            </w:pPr>
            <w:r w:rsidRPr="00E72A73">
              <w:rPr>
                <w:rFonts w:cs="Arial"/>
                <w:szCs w:val="20"/>
              </w:rPr>
              <w:t>Research</w:t>
            </w:r>
          </w:p>
        </w:tc>
        <w:tc>
          <w:tcPr>
            <w:tcW w:w="3118" w:type="dxa"/>
            <w:shd w:val="clear" w:color="auto" w:fill="auto"/>
          </w:tcPr>
          <w:p w14:paraId="52C1215B" w14:textId="77777777" w:rsidR="00EF4AEB" w:rsidRPr="00E72A73" w:rsidRDefault="00EF4AEB" w:rsidP="00D2479F">
            <w:pPr>
              <w:rPr>
                <w:rFonts w:cs="Arial"/>
                <w:b/>
                <w:szCs w:val="20"/>
              </w:rPr>
            </w:pPr>
            <w:r w:rsidRPr="00E72A73">
              <w:rPr>
                <w:rFonts w:cs="Arial"/>
                <w:szCs w:val="20"/>
              </w:rPr>
              <w:t>Research unit</w:t>
            </w:r>
          </w:p>
        </w:tc>
        <w:tc>
          <w:tcPr>
            <w:tcW w:w="3856" w:type="dxa"/>
            <w:shd w:val="clear" w:color="auto" w:fill="auto"/>
          </w:tcPr>
          <w:p w14:paraId="56297597" w14:textId="77777777" w:rsidR="00EF4AEB" w:rsidRPr="00E72A73" w:rsidRDefault="00EF4AEB" w:rsidP="00D2479F">
            <w:pPr>
              <w:rPr>
                <w:rFonts w:cs="Arial"/>
                <w:b/>
                <w:szCs w:val="20"/>
              </w:rPr>
            </w:pPr>
            <w:r w:rsidRPr="00E72A73">
              <w:rPr>
                <w:rFonts w:cs="Arial"/>
                <w:szCs w:val="20"/>
              </w:rPr>
              <w:t>Research unit</w:t>
            </w:r>
          </w:p>
        </w:tc>
        <w:tc>
          <w:tcPr>
            <w:tcW w:w="1843" w:type="dxa"/>
            <w:shd w:val="clear" w:color="auto" w:fill="auto"/>
          </w:tcPr>
          <w:p w14:paraId="0F90F5A1" w14:textId="6ED55FE8" w:rsidR="00EF4AEB" w:rsidRPr="00E72A73" w:rsidRDefault="00EF4AEB" w:rsidP="00D2479F">
            <w:pPr>
              <w:rPr>
                <w:rFonts w:cs="Arial"/>
                <w:b/>
                <w:szCs w:val="20"/>
              </w:rPr>
            </w:pPr>
            <w:r w:rsidRPr="00E72A73">
              <w:rPr>
                <w:rFonts w:cs="Arial"/>
                <w:szCs w:val="20"/>
              </w:rPr>
              <w:t>Internal</w:t>
            </w:r>
          </w:p>
        </w:tc>
      </w:tr>
    </w:tbl>
    <w:p w14:paraId="7803147C" w14:textId="77777777" w:rsidR="00EF4AEB" w:rsidRDefault="00EF4AEB" w:rsidP="00EF4AEB">
      <w:pPr>
        <w:pStyle w:val="Heading2"/>
        <w:keepNext w:val="0"/>
        <w:widowControl w:val="0"/>
        <w:rPr>
          <w:rFonts w:ascii="Arial" w:hAnsi="Arial" w:cs="Arial"/>
          <w:sz w:val="20"/>
          <w:szCs w:val="20"/>
        </w:rPr>
      </w:pPr>
    </w:p>
    <w:p w14:paraId="2935D5A8" w14:textId="77777777" w:rsidR="00EF4AEB" w:rsidRDefault="00EF4AEB" w:rsidP="00EF4AEB">
      <w:pPr>
        <w:pStyle w:val="Heading2"/>
      </w:pPr>
      <w:r>
        <w:br w:type="page"/>
      </w:r>
    </w:p>
    <w:p w14:paraId="11524435" w14:textId="77777777" w:rsidR="00EF4AEB" w:rsidRDefault="00EF4AEB" w:rsidP="00EF4AEB">
      <w:pPr>
        <w:pStyle w:val="Heading2"/>
      </w:pPr>
      <w:r w:rsidRPr="00E72A73">
        <w:lastRenderedPageBreak/>
        <w:t>Additional</w:t>
      </w:r>
      <w:r>
        <w:t xml:space="preserve"> Mode of Delivery t</w:t>
      </w:r>
      <w:r w:rsidRPr="00E11755">
        <w:t>itles</w:t>
      </w:r>
    </w:p>
    <w:p w14:paraId="15ABDA03" w14:textId="0ACD40E5" w:rsidR="00EF4AEB" w:rsidRPr="00EF4AEB" w:rsidRDefault="00EF4AEB" w:rsidP="00EF4AEB">
      <w:pPr>
        <w:rPr>
          <w:rFonts w:asciiTheme="minorHAnsi" w:hAnsiTheme="minorHAnsi"/>
        </w:rPr>
      </w:pPr>
      <w:r w:rsidRPr="009C6EE5">
        <w:t>In addition to the six main titles, additional tit</w:t>
      </w:r>
      <w:r>
        <w:t xml:space="preserve">les will be used for units with </w:t>
      </w:r>
      <w:r w:rsidRPr="009C6EE5">
        <w:t xml:space="preserve">specialist or specific requirements of delivery mode, as described below.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3998"/>
        <w:gridCol w:w="1984"/>
      </w:tblGrid>
      <w:tr w:rsidR="00EF4AEB" w:rsidRPr="00E72A73" w14:paraId="37644610" w14:textId="77777777" w:rsidTr="00EF4AEB">
        <w:trPr>
          <w:cantSplit/>
          <w:tblHeader/>
        </w:trPr>
        <w:tc>
          <w:tcPr>
            <w:tcW w:w="1242" w:type="dxa"/>
            <w:shd w:val="clear" w:color="auto" w:fill="DBE5F1"/>
          </w:tcPr>
          <w:p w14:paraId="7CD75A6F" w14:textId="77777777" w:rsidR="00EF4AEB" w:rsidRPr="00E72A73" w:rsidRDefault="00EF4AEB" w:rsidP="00D2479F">
            <w:pPr>
              <w:rPr>
                <w:b/>
                <w:szCs w:val="20"/>
              </w:rPr>
            </w:pPr>
            <w:r w:rsidRPr="00E72A73">
              <w:rPr>
                <w:b/>
                <w:szCs w:val="20"/>
              </w:rPr>
              <w:t>Title</w:t>
            </w:r>
          </w:p>
        </w:tc>
        <w:tc>
          <w:tcPr>
            <w:tcW w:w="2977" w:type="dxa"/>
            <w:shd w:val="clear" w:color="auto" w:fill="DBE5F1"/>
          </w:tcPr>
          <w:p w14:paraId="6CB5611D" w14:textId="77777777" w:rsidR="00EF4AEB" w:rsidRPr="00E72A73" w:rsidRDefault="00EF4AEB" w:rsidP="00D2479F">
            <w:pPr>
              <w:rPr>
                <w:b/>
                <w:szCs w:val="20"/>
              </w:rPr>
            </w:pPr>
            <w:r w:rsidRPr="00E72A73">
              <w:rPr>
                <w:b/>
                <w:szCs w:val="20"/>
              </w:rPr>
              <w:t>Description (for unit website)</w:t>
            </w:r>
          </w:p>
        </w:tc>
        <w:tc>
          <w:tcPr>
            <w:tcW w:w="3998" w:type="dxa"/>
            <w:shd w:val="clear" w:color="auto" w:fill="DBE5F1"/>
          </w:tcPr>
          <w:p w14:paraId="055B7B11" w14:textId="77777777" w:rsidR="00EF4AEB" w:rsidRPr="00E72A73" w:rsidRDefault="00EF4AEB" w:rsidP="00D2479F">
            <w:pPr>
              <w:rPr>
                <w:b/>
                <w:szCs w:val="20"/>
              </w:rPr>
            </w:pPr>
            <w:r w:rsidRPr="00E72A73">
              <w:rPr>
                <w:b/>
                <w:szCs w:val="20"/>
              </w:rPr>
              <w:t>Full Description</w:t>
            </w:r>
          </w:p>
        </w:tc>
        <w:tc>
          <w:tcPr>
            <w:tcW w:w="1984" w:type="dxa"/>
            <w:shd w:val="clear" w:color="auto" w:fill="DBE5F1"/>
          </w:tcPr>
          <w:p w14:paraId="218CF373" w14:textId="77777777" w:rsidR="00EF4AEB" w:rsidRPr="00E72A73" w:rsidRDefault="00EF4AEB" w:rsidP="00D2479F">
            <w:pPr>
              <w:rPr>
                <w:b/>
                <w:szCs w:val="20"/>
              </w:rPr>
            </w:pPr>
            <w:r w:rsidRPr="00E72A73">
              <w:rPr>
                <w:b/>
                <w:szCs w:val="20"/>
              </w:rPr>
              <w:t>Government code</w:t>
            </w:r>
            <w:r w:rsidRPr="00E72A73">
              <w:rPr>
                <w:b/>
                <w:szCs w:val="20"/>
              </w:rPr>
              <w:br/>
            </w:r>
          </w:p>
        </w:tc>
      </w:tr>
      <w:tr w:rsidR="00EF4AEB" w:rsidRPr="00E72A73" w14:paraId="4A73F04F" w14:textId="77777777" w:rsidTr="00EF4AEB">
        <w:trPr>
          <w:cantSplit/>
        </w:trPr>
        <w:tc>
          <w:tcPr>
            <w:tcW w:w="1242" w:type="dxa"/>
            <w:shd w:val="clear" w:color="auto" w:fill="auto"/>
          </w:tcPr>
          <w:p w14:paraId="1CE0B200" w14:textId="77777777" w:rsidR="00EF4AEB" w:rsidRPr="00E72A73" w:rsidRDefault="00EF4AEB" w:rsidP="00D2479F">
            <w:pPr>
              <w:rPr>
                <w:szCs w:val="20"/>
              </w:rPr>
            </w:pPr>
            <w:r w:rsidRPr="00E72A73">
              <w:rPr>
                <w:szCs w:val="20"/>
              </w:rPr>
              <w:t>Online-exam</w:t>
            </w:r>
          </w:p>
        </w:tc>
        <w:tc>
          <w:tcPr>
            <w:tcW w:w="2977" w:type="dxa"/>
            <w:shd w:val="clear" w:color="auto" w:fill="auto"/>
          </w:tcPr>
          <w:p w14:paraId="731969D6" w14:textId="77777777" w:rsidR="00EF4AEB" w:rsidRPr="00E72A73" w:rsidRDefault="00EF4AEB" w:rsidP="00D2479F">
            <w:pPr>
              <w:rPr>
                <w:szCs w:val="20"/>
              </w:rPr>
            </w:pPr>
            <w:r w:rsidRPr="00E72A73">
              <w:rPr>
                <w:szCs w:val="20"/>
              </w:rPr>
              <w:t xml:space="preserve">All content delivered </w:t>
            </w:r>
            <w:proofErr w:type="gramStart"/>
            <w:r w:rsidRPr="00E72A73">
              <w:rPr>
                <w:szCs w:val="20"/>
              </w:rPr>
              <w:t>online</w:t>
            </w:r>
            <w:proofErr w:type="gramEnd"/>
            <w:r w:rsidRPr="00E72A73">
              <w:rPr>
                <w:szCs w:val="20"/>
              </w:rPr>
              <w:t xml:space="preserve"> but exam attendance is required</w:t>
            </w:r>
          </w:p>
        </w:tc>
        <w:tc>
          <w:tcPr>
            <w:tcW w:w="3998" w:type="dxa"/>
            <w:shd w:val="clear" w:color="auto" w:fill="auto"/>
          </w:tcPr>
          <w:p w14:paraId="30FE2DA8" w14:textId="77777777" w:rsidR="00EF4AEB" w:rsidRPr="00E72A73" w:rsidRDefault="00EF4AEB" w:rsidP="00D2479F">
            <w:pPr>
              <w:rPr>
                <w:szCs w:val="20"/>
              </w:rPr>
            </w:pPr>
            <w:r w:rsidRPr="00E72A73">
              <w:rPr>
                <w:szCs w:val="20"/>
              </w:rPr>
              <w:t xml:space="preserve">Online instruction with the requirement to attend a designated exam centre for some or </w:t>
            </w:r>
            <w:proofErr w:type="gramStart"/>
            <w:r w:rsidRPr="00E72A73">
              <w:rPr>
                <w:szCs w:val="20"/>
              </w:rPr>
              <w:t>all of</w:t>
            </w:r>
            <w:proofErr w:type="gramEnd"/>
            <w:r w:rsidRPr="00E72A73">
              <w:rPr>
                <w:szCs w:val="20"/>
              </w:rPr>
              <w:t xml:space="preserve"> the required assessment. Components may require online interaction at set times to enable synchronous learning activities.</w:t>
            </w:r>
          </w:p>
        </w:tc>
        <w:tc>
          <w:tcPr>
            <w:tcW w:w="1984" w:type="dxa"/>
            <w:shd w:val="clear" w:color="auto" w:fill="auto"/>
          </w:tcPr>
          <w:p w14:paraId="222A43B3" w14:textId="77777777" w:rsidR="00EF4AEB" w:rsidRPr="00E72A73" w:rsidRDefault="00EF4AEB" w:rsidP="00D2479F">
            <w:pPr>
              <w:rPr>
                <w:szCs w:val="20"/>
              </w:rPr>
            </w:pPr>
            <w:r w:rsidRPr="00E72A73">
              <w:rPr>
                <w:szCs w:val="20"/>
              </w:rPr>
              <w:t>External</w:t>
            </w:r>
          </w:p>
        </w:tc>
      </w:tr>
      <w:tr w:rsidR="00EF4AEB" w:rsidRPr="00E72A73" w14:paraId="2C3C5AF3" w14:textId="77777777" w:rsidTr="00EF4AEB">
        <w:trPr>
          <w:cantSplit/>
        </w:trPr>
        <w:tc>
          <w:tcPr>
            <w:tcW w:w="1242" w:type="dxa"/>
            <w:shd w:val="clear" w:color="auto" w:fill="auto"/>
          </w:tcPr>
          <w:p w14:paraId="5CD6EF13" w14:textId="77777777" w:rsidR="00EF4AEB" w:rsidRPr="00E72A73" w:rsidRDefault="00EF4AEB" w:rsidP="00D2479F">
            <w:pPr>
              <w:rPr>
                <w:szCs w:val="20"/>
              </w:rPr>
            </w:pPr>
            <w:r w:rsidRPr="00E72A73">
              <w:rPr>
                <w:szCs w:val="20"/>
              </w:rPr>
              <w:t>Weekend</w:t>
            </w:r>
          </w:p>
        </w:tc>
        <w:tc>
          <w:tcPr>
            <w:tcW w:w="2977" w:type="dxa"/>
            <w:shd w:val="clear" w:color="auto" w:fill="auto"/>
          </w:tcPr>
          <w:p w14:paraId="3C9E86B7" w14:textId="77777777" w:rsidR="00EF4AEB" w:rsidRPr="00E72A73" w:rsidRDefault="00EF4AEB" w:rsidP="00D2479F">
            <w:pPr>
              <w:rPr>
                <w:szCs w:val="20"/>
              </w:rPr>
            </w:pPr>
            <w:r w:rsidRPr="00E72A73">
              <w:rPr>
                <w:szCs w:val="20"/>
              </w:rPr>
              <w:t>Flexible delivery requiring on-campus attendance on weekends</w:t>
            </w:r>
          </w:p>
        </w:tc>
        <w:tc>
          <w:tcPr>
            <w:tcW w:w="3998" w:type="dxa"/>
            <w:shd w:val="clear" w:color="auto" w:fill="auto"/>
          </w:tcPr>
          <w:p w14:paraId="28A2FA04" w14:textId="77777777" w:rsidR="00EF4AEB" w:rsidRPr="00E72A73" w:rsidRDefault="00EF4AEB" w:rsidP="00D2479F">
            <w:pPr>
              <w:rPr>
                <w:szCs w:val="20"/>
              </w:rPr>
            </w:pPr>
            <w:r w:rsidRPr="00E72A73">
              <w:rPr>
                <w:szCs w:val="20"/>
              </w:rPr>
              <w:t>Flexible instruction requiring regular on-campus attendance. All on-campus attendance requirements are scheduled on weekends only.</w:t>
            </w:r>
          </w:p>
        </w:tc>
        <w:tc>
          <w:tcPr>
            <w:tcW w:w="1984" w:type="dxa"/>
            <w:shd w:val="clear" w:color="auto" w:fill="auto"/>
          </w:tcPr>
          <w:p w14:paraId="0F5E35A3" w14:textId="77777777" w:rsidR="00EF4AEB" w:rsidRPr="00E72A73" w:rsidRDefault="00EF4AEB" w:rsidP="00D2479F">
            <w:pPr>
              <w:rPr>
                <w:szCs w:val="20"/>
              </w:rPr>
            </w:pPr>
            <w:r w:rsidRPr="00E72A73">
              <w:rPr>
                <w:szCs w:val="20"/>
              </w:rPr>
              <w:t>Internal</w:t>
            </w:r>
          </w:p>
        </w:tc>
      </w:tr>
      <w:tr w:rsidR="00EF4AEB" w:rsidRPr="00E72A73" w14:paraId="0C5ADC4B" w14:textId="77777777" w:rsidTr="00EF4AEB">
        <w:trPr>
          <w:cantSplit/>
        </w:trPr>
        <w:tc>
          <w:tcPr>
            <w:tcW w:w="1242" w:type="dxa"/>
            <w:shd w:val="clear" w:color="auto" w:fill="auto"/>
          </w:tcPr>
          <w:p w14:paraId="2279E09D" w14:textId="77777777" w:rsidR="00EF4AEB" w:rsidRPr="00E72A73" w:rsidRDefault="00EF4AEB" w:rsidP="00D2479F">
            <w:pPr>
              <w:rPr>
                <w:szCs w:val="20"/>
              </w:rPr>
            </w:pPr>
            <w:r w:rsidRPr="00E72A73">
              <w:rPr>
                <w:szCs w:val="20"/>
              </w:rPr>
              <w:t>Evening</w:t>
            </w:r>
          </w:p>
        </w:tc>
        <w:tc>
          <w:tcPr>
            <w:tcW w:w="2977" w:type="dxa"/>
            <w:shd w:val="clear" w:color="auto" w:fill="auto"/>
          </w:tcPr>
          <w:p w14:paraId="38AAB3B0" w14:textId="77777777" w:rsidR="00EF4AEB" w:rsidRPr="00E72A73" w:rsidRDefault="00EF4AEB" w:rsidP="00D2479F">
            <w:pPr>
              <w:rPr>
                <w:szCs w:val="20"/>
              </w:rPr>
            </w:pPr>
            <w:r w:rsidRPr="00E72A73">
              <w:rPr>
                <w:szCs w:val="20"/>
              </w:rPr>
              <w:t>Flexible delivery requiring on-campus attendance on evenings</w:t>
            </w:r>
          </w:p>
        </w:tc>
        <w:tc>
          <w:tcPr>
            <w:tcW w:w="3998" w:type="dxa"/>
            <w:shd w:val="clear" w:color="auto" w:fill="auto"/>
          </w:tcPr>
          <w:p w14:paraId="07BC39D0" w14:textId="77777777" w:rsidR="00EF4AEB" w:rsidRPr="00E72A73" w:rsidRDefault="00EF4AEB" w:rsidP="00D2479F">
            <w:pPr>
              <w:rPr>
                <w:szCs w:val="20"/>
              </w:rPr>
            </w:pPr>
            <w:r w:rsidRPr="00E72A73">
              <w:rPr>
                <w:szCs w:val="20"/>
              </w:rPr>
              <w:t>Flexible instruction requiring regular on-campus attendance. All on-campus attendance requirements are scheduled after 5pm on weekdays only</w:t>
            </w:r>
          </w:p>
        </w:tc>
        <w:tc>
          <w:tcPr>
            <w:tcW w:w="1984" w:type="dxa"/>
            <w:shd w:val="clear" w:color="auto" w:fill="auto"/>
          </w:tcPr>
          <w:p w14:paraId="5B028FFE" w14:textId="77777777" w:rsidR="00EF4AEB" w:rsidRPr="00E72A73" w:rsidRDefault="00EF4AEB" w:rsidP="00D2479F">
            <w:pPr>
              <w:rPr>
                <w:szCs w:val="20"/>
              </w:rPr>
            </w:pPr>
            <w:r w:rsidRPr="00E72A73">
              <w:rPr>
                <w:szCs w:val="20"/>
              </w:rPr>
              <w:t>Internal</w:t>
            </w:r>
          </w:p>
        </w:tc>
      </w:tr>
      <w:tr w:rsidR="00EF4AEB" w:rsidRPr="00E72A73" w14:paraId="122FF4C1" w14:textId="77777777" w:rsidTr="00EF4AEB">
        <w:trPr>
          <w:cantSplit/>
        </w:trPr>
        <w:tc>
          <w:tcPr>
            <w:tcW w:w="1242" w:type="dxa"/>
            <w:shd w:val="clear" w:color="auto" w:fill="auto"/>
          </w:tcPr>
          <w:p w14:paraId="14C1D4A2" w14:textId="77777777" w:rsidR="00EF4AEB" w:rsidRPr="00E72A73" w:rsidRDefault="00EF4AEB" w:rsidP="00D2479F">
            <w:pPr>
              <w:rPr>
                <w:szCs w:val="20"/>
              </w:rPr>
            </w:pPr>
            <w:r w:rsidRPr="00E72A73">
              <w:rPr>
                <w:szCs w:val="20"/>
              </w:rPr>
              <w:t>Sponsor</w:t>
            </w:r>
          </w:p>
        </w:tc>
        <w:tc>
          <w:tcPr>
            <w:tcW w:w="2977" w:type="dxa"/>
            <w:shd w:val="clear" w:color="auto" w:fill="auto"/>
          </w:tcPr>
          <w:p w14:paraId="6B0704D8" w14:textId="77777777" w:rsidR="00EF4AEB" w:rsidRPr="00E72A73" w:rsidRDefault="00EF4AEB" w:rsidP="00D2479F">
            <w:pPr>
              <w:rPr>
                <w:szCs w:val="20"/>
              </w:rPr>
            </w:pPr>
            <w:r w:rsidRPr="00E72A73">
              <w:rPr>
                <w:szCs w:val="20"/>
              </w:rPr>
              <w:t>Limited to students sponsored by a designated employer</w:t>
            </w:r>
          </w:p>
        </w:tc>
        <w:tc>
          <w:tcPr>
            <w:tcW w:w="3998" w:type="dxa"/>
            <w:shd w:val="clear" w:color="auto" w:fill="auto"/>
          </w:tcPr>
          <w:p w14:paraId="0751C2F1" w14:textId="77777777" w:rsidR="00EF4AEB" w:rsidRPr="00E72A73" w:rsidRDefault="00EF4AEB" w:rsidP="00D2479F">
            <w:pPr>
              <w:rPr>
                <w:szCs w:val="20"/>
              </w:rPr>
            </w:pPr>
            <w:r w:rsidRPr="00E72A73">
              <w:rPr>
                <w:szCs w:val="20"/>
              </w:rPr>
              <w:t>Enrolment is limited to students sponsored by a designated employer. Instruction is determined by the needs of the sponsor.</w:t>
            </w:r>
          </w:p>
        </w:tc>
        <w:tc>
          <w:tcPr>
            <w:tcW w:w="1984" w:type="dxa"/>
            <w:shd w:val="clear" w:color="auto" w:fill="auto"/>
          </w:tcPr>
          <w:p w14:paraId="66B03D63" w14:textId="77777777" w:rsidR="00EF4AEB" w:rsidRPr="00E72A73" w:rsidRDefault="00EF4AEB" w:rsidP="00D2479F">
            <w:pPr>
              <w:rPr>
                <w:szCs w:val="20"/>
              </w:rPr>
            </w:pPr>
            <w:r w:rsidRPr="00E72A73">
              <w:rPr>
                <w:szCs w:val="20"/>
              </w:rPr>
              <w:t>Multi-mode</w:t>
            </w:r>
          </w:p>
        </w:tc>
      </w:tr>
      <w:tr w:rsidR="00EF4AEB" w:rsidRPr="00E72A73" w14:paraId="72E88DF9" w14:textId="77777777" w:rsidTr="00EF4AEB">
        <w:trPr>
          <w:cantSplit/>
        </w:trPr>
        <w:tc>
          <w:tcPr>
            <w:tcW w:w="1242" w:type="dxa"/>
            <w:shd w:val="clear" w:color="auto" w:fill="auto"/>
          </w:tcPr>
          <w:p w14:paraId="54CD5845" w14:textId="77777777" w:rsidR="00EF4AEB" w:rsidRPr="00E72A73" w:rsidRDefault="00EF4AEB" w:rsidP="00D2479F">
            <w:pPr>
              <w:rPr>
                <w:szCs w:val="20"/>
              </w:rPr>
            </w:pPr>
            <w:proofErr w:type="spellStart"/>
            <w:r w:rsidRPr="00E72A73">
              <w:rPr>
                <w:szCs w:val="20"/>
              </w:rPr>
              <w:t>Internplce</w:t>
            </w:r>
            <w:proofErr w:type="spellEnd"/>
          </w:p>
          <w:p w14:paraId="64C025D5" w14:textId="77777777" w:rsidR="00EF4AEB" w:rsidRPr="00E72A73" w:rsidRDefault="00EF4AEB" w:rsidP="00D2479F">
            <w:pPr>
              <w:rPr>
                <w:szCs w:val="20"/>
              </w:rPr>
            </w:pPr>
            <w:r w:rsidRPr="00E72A73">
              <w:rPr>
                <w:szCs w:val="20"/>
              </w:rPr>
              <w:t>(meaning Internship/ Placement)</w:t>
            </w:r>
          </w:p>
        </w:tc>
        <w:tc>
          <w:tcPr>
            <w:tcW w:w="2977" w:type="dxa"/>
            <w:shd w:val="clear" w:color="auto" w:fill="auto"/>
          </w:tcPr>
          <w:p w14:paraId="3A784342" w14:textId="77777777" w:rsidR="00EF4AEB" w:rsidRPr="00E72A73" w:rsidRDefault="00EF4AEB" w:rsidP="00D2479F">
            <w:pPr>
              <w:rPr>
                <w:szCs w:val="20"/>
              </w:rPr>
            </w:pPr>
            <w:r w:rsidRPr="00E72A73">
              <w:rPr>
                <w:szCs w:val="20"/>
              </w:rPr>
              <w:t>Internship/Placement, possibly with on-campus activities</w:t>
            </w:r>
          </w:p>
        </w:tc>
        <w:tc>
          <w:tcPr>
            <w:tcW w:w="3998" w:type="dxa"/>
            <w:shd w:val="clear" w:color="auto" w:fill="auto"/>
          </w:tcPr>
          <w:p w14:paraId="32B8FD84" w14:textId="77777777" w:rsidR="00EF4AEB" w:rsidRPr="00E72A73" w:rsidRDefault="00EF4AEB" w:rsidP="00D2479F">
            <w:pPr>
              <w:rPr>
                <w:szCs w:val="20"/>
              </w:rPr>
            </w:pPr>
            <w:r w:rsidRPr="00E72A73">
              <w:rPr>
                <w:szCs w:val="20"/>
              </w:rPr>
              <w:t>An industry or professional placement requiring attendance at a specified non-campus location as a core part of the learning experience. May require campus attendance for specific components</w:t>
            </w:r>
          </w:p>
        </w:tc>
        <w:tc>
          <w:tcPr>
            <w:tcW w:w="1984" w:type="dxa"/>
            <w:shd w:val="clear" w:color="auto" w:fill="auto"/>
          </w:tcPr>
          <w:p w14:paraId="7DE26FD1" w14:textId="77777777" w:rsidR="00EF4AEB" w:rsidRPr="00E72A73" w:rsidRDefault="00EF4AEB" w:rsidP="00D2479F">
            <w:pPr>
              <w:rPr>
                <w:szCs w:val="20"/>
              </w:rPr>
            </w:pPr>
            <w:r w:rsidRPr="00E72A73">
              <w:rPr>
                <w:szCs w:val="20"/>
              </w:rPr>
              <w:t>Multi-mode</w:t>
            </w:r>
          </w:p>
        </w:tc>
      </w:tr>
      <w:tr w:rsidR="00EF4AEB" w:rsidRPr="00E72A73" w14:paraId="628E4D67" w14:textId="77777777" w:rsidTr="00EF4AEB">
        <w:trPr>
          <w:cantSplit/>
        </w:trPr>
        <w:tc>
          <w:tcPr>
            <w:tcW w:w="1242" w:type="dxa"/>
            <w:shd w:val="clear" w:color="auto" w:fill="auto"/>
          </w:tcPr>
          <w:p w14:paraId="5E9B7CC5" w14:textId="77777777" w:rsidR="00EF4AEB" w:rsidRPr="00E72A73" w:rsidRDefault="00EF4AEB" w:rsidP="00D2479F">
            <w:pPr>
              <w:rPr>
                <w:szCs w:val="20"/>
              </w:rPr>
            </w:pPr>
            <w:r w:rsidRPr="00E72A73">
              <w:rPr>
                <w:szCs w:val="20"/>
              </w:rPr>
              <w:t>Project</w:t>
            </w:r>
          </w:p>
        </w:tc>
        <w:tc>
          <w:tcPr>
            <w:tcW w:w="2977" w:type="dxa"/>
            <w:shd w:val="clear" w:color="auto" w:fill="auto"/>
          </w:tcPr>
          <w:p w14:paraId="0E0E8064" w14:textId="77777777" w:rsidR="00EF4AEB" w:rsidRPr="00E72A73" w:rsidRDefault="00EF4AEB" w:rsidP="00D2479F">
            <w:pPr>
              <w:rPr>
                <w:szCs w:val="20"/>
              </w:rPr>
            </w:pPr>
            <w:r w:rsidRPr="00E72A73">
              <w:rPr>
                <w:szCs w:val="20"/>
              </w:rPr>
              <w:t>Research project with possible instruction or attendance</w:t>
            </w:r>
          </w:p>
        </w:tc>
        <w:tc>
          <w:tcPr>
            <w:tcW w:w="3998" w:type="dxa"/>
            <w:shd w:val="clear" w:color="auto" w:fill="auto"/>
          </w:tcPr>
          <w:p w14:paraId="5D60223E" w14:textId="77777777" w:rsidR="00EF4AEB" w:rsidRPr="00E72A73" w:rsidRDefault="00EF4AEB" w:rsidP="00D2479F">
            <w:pPr>
              <w:rPr>
                <w:szCs w:val="20"/>
              </w:rPr>
            </w:pPr>
            <w:r w:rsidRPr="00E72A73">
              <w:rPr>
                <w:szCs w:val="20"/>
              </w:rPr>
              <w:t>An individual research project not requiring specific instruction or attendance</w:t>
            </w:r>
          </w:p>
        </w:tc>
        <w:tc>
          <w:tcPr>
            <w:tcW w:w="1984" w:type="dxa"/>
            <w:shd w:val="clear" w:color="auto" w:fill="auto"/>
          </w:tcPr>
          <w:p w14:paraId="4C0E7AEA" w14:textId="77777777" w:rsidR="00EF4AEB" w:rsidRPr="00E72A73" w:rsidRDefault="00EF4AEB" w:rsidP="00D2479F">
            <w:pPr>
              <w:rPr>
                <w:szCs w:val="20"/>
              </w:rPr>
            </w:pPr>
            <w:r w:rsidRPr="00E72A73">
              <w:rPr>
                <w:szCs w:val="20"/>
              </w:rPr>
              <w:t>Multi-mode</w:t>
            </w:r>
          </w:p>
        </w:tc>
      </w:tr>
    </w:tbl>
    <w:p w14:paraId="083C65ED" w14:textId="77777777" w:rsidR="00EF4AEB" w:rsidRPr="00E72A73" w:rsidRDefault="00EF4AEB" w:rsidP="00EF4AEB">
      <w:pPr>
        <w:rPr>
          <w:szCs w:val="20"/>
        </w:rPr>
      </w:pPr>
    </w:p>
    <w:p w14:paraId="66096630" w14:textId="77777777" w:rsidR="00EF4AEB" w:rsidRDefault="00EF4AEB" w:rsidP="00EF4AEB">
      <w:pPr>
        <w:pStyle w:val="Heading3"/>
      </w:pPr>
      <w:r>
        <w:t>Authority</w:t>
      </w:r>
    </w:p>
    <w:p w14:paraId="101EF218" w14:textId="6D84E644" w:rsidR="00EF4AEB" w:rsidRPr="006C394C" w:rsidRDefault="00EF4AEB" w:rsidP="00EF4AEB">
      <w:r w:rsidRPr="006C394C">
        <w:t xml:space="preserve">The </w:t>
      </w:r>
      <w:r>
        <w:t xml:space="preserve">unit </w:t>
      </w:r>
      <w:r w:rsidRPr="006C394C">
        <w:t xml:space="preserve">modes </w:t>
      </w:r>
      <w:r>
        <w:t xml:space="preserve">of delivery </w:t>
      </w:r>
      <w:r w:rsidRPr="006C394C">
        <w:t xml:space="preserve">were </w:t>
      </w:r>
      <w:r>
        <w:t xml:space="preserve">first </w:t>
      </w:r>
      <w:r w:rsidRPr="006C394C">
        <w:t>approved by Academic Board AB13/6 – 11 November 2013</w:t>
      </w:r>
      <w:r>
        <w:t>.</w:t>
      </w:r>
    </w:p>
    <w:p w14:paraId="5F318AD5" w14:textId="6F5A4BFF" w:rsidR="00EF4AEB" w:rsidRDefault="00EF4AEB" w:rsidP="00EF4AEB">
      <w:pPr>
        <w:rPr>
          <w:szCs w:val="20"/>
        </w:rPr>
      </w:pPr>
      <w:r>
        <w:rPr>
          <w:szCs w:val="20"/>
        </w:rPr>
        <w:t xml:space="preserve">The modification of the descriptor for the unit mode of delivery </w:t>
      </w:r>
      <w:r w:rsidRPr="00EF4AEB">
        <w:rPr>
          <w:i/>
          <w:iCs/>
          <w:szCs w:val="20"/>
        </w:rPr>
        <w:t>Flexible</w:t>
      </w:r>
      <w:r>
        <w:rPr>
          <w:szCs w:val="20"/>
        </w:rPr>
        <w:t xml:space="preserve"> was approved by Academic Board AB19/5 </w:t>
      </w:r>
      <w:r w:rsidR="00785968">
        <w:rPr>
          <w:szCs w:val="20"/>
        </w:rPr>
        <w:t>2</w:t>
      </w:r>
      <w:r>
        <w:rPr>
          <w:szCs w:val="20"/>
        </w:rPr>
        <w:t>October 2019</w:t>
      </w:r>
      <w:r w:rsidR="00785968">
        <w:rPr>
          <w:szCs w:val="20"/>
        </w:rPr>
        <w:t>.</w:t>
      </w:r>
    </w:p>
    <w:p w14:paraId="223234E3" w14:textId="77777777" w:rsidR="00785968" w:rsidRDefault="00785968" w:rsidP="00785968">
      <w:pPr>
        <w:rPr>
          <w:szCs w:val="20"/>
        </w:rPr>
      </w:pPr>
      <w:r>
        <w:rPr>
          <w:szCs w:val="20"/>
        </w:rPr>
        <w:t xml:space="preserve">For further information about the University’s modes of delivery contact your Faculty’s ADE or the Office of the Deputy Vice-Chancellor (Education). </w:t>
      </w:r>
    </w:p>
    <w:p w14:paraId="76227011" w14:textId="77777777" w:rsidR="00785968" w:rsidRDefault="00785968" w:rsidP="00EF4AEB">
      <w:pPr>
        <w:rPr>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3856"/>
        <w:gridCol w:w="1843"/>
      </w:tblGrid>
      <w:tr w:rsidR="00785968" w:rsidRPr="00E72A73" w14:paraId="05E97306" w14:textId="77777777" w:rsidTr="00D2479F">
        <w:trPr>
          <w:trHeight w:val="475"/>
        </w:trPr>
        <w:tc>
          <w:tcPr>
            <w:tcW w:w="1101" w:type="dxa"/>
            <w:shd w:val="clear" w:color="auto" w:fill="DBE5F1"/>
          </w:tcPr>
          <w:p w14:paraId="367CCCA4" w14:textId="77777777" w:rsidR="00785968" w:rsidRPr="00E72A73" w:rsidRDefault="00785968" w:rsidP="00D2479F">
            <w:pPr>
              <w:rPr>
                <w:b/>
                <w:szCs w:val="20"/>
              </w:rPr>
            </w:pPr>
            <w:r w:rsidRPr="00E72A73">
              <w:rPr>
                <w:b/>
                <w:szCs w:val="20"/>
              </w:rPr>
              <w:lastRenderedPageBreak/>
              <w:t>Title</w:t>
            </w:r>
          </w:p>
        </w:tc>
        <w:tc>
          <w:tcPr>
            <w:tcW w:w="3118" w:type="dxa"/>
            <w:shd w:val="clear" w:color="auto" w:fill="DBE5F1"/>
          </w:tcPr>
          <w:p w14:paraId="6CC383B8" w14:textId="77777777" w:rsidR="00785968" w:rsidRPr="00E72A73" w:rsidRDefault="00785968" w:rsidP="00D2479F">
            <w:pPr>
              <w:rPr>
                <w:b/>
                <w:szCs w:val="20"/>
              </w:rPr>
            </w:pPr>
            <w:r w:rsidRPr="00E72A73">
              <w:rPr>
                <w:b/>
                <w:szCs w:val="20"/>
              </w:rPr>
              <w:t>Description (for unit website)</w:t>
            </w:r>
          </w:p>
        </w:tc>
        <w:tc>
          <w:tcPr>
            <w:tcW w:w="3856" w:type="dxa"/>
            <w:shd w:val="clear" w:color="auto" w:fill="DBE5F1"/>
          </w:tcPr>
          <w:p w14:paraId="23A12960" w14:textId="77777777" w:rsidR="00785968" w:rsidRPr="00E72A73" w:rsidRDefault="00785968" w:rsidP="00D2479F">
            <w:pPr>
              <w:rPr>
                <w:b/>
                <w:szCs w:val="20"/>
              </w:rPr>
            </w:pPr>
            <w:r w:rsidRPr="00E72A73">
              <w:rPr>
                <w:b/>
                <w:szCs w:val="20"/>
              </w:rPr>
              <w:t>Full Description</w:t>
            </w:r>
          </w:p>
        </w:tc>
        <w:tc>
          <w:tcPr>
            <w:tcW w:w="1843" w:type="dxa"/>
            <w:shd w:val="clear" w:color="auto" w:fill="DBE5F1"/>
          </w:tcPr>
          <w:p w14:paraId="78BD0158" w14:textId="77777777" w:rsidR="00785968" w:rsidRPr="00E72A73" w:rsidRDefault="00785968" w:rsidP="00D2479F">
            <w:pPr>
              <w:rPr>
                <w:b/>
                <w:szCs w:val="20"/>
              </w:rPr>
            </w:pPr>
            <w:r w:rsidRPr="00E72A73">
              <w:rPr>
                <w:b/>
                <w:szCs w:val="20"/>
              </w:rPr>
              <w:t>Government code</w:t>
            </w:r>
          </w:p>
        </w:tc>
      </w:tr>
      <w:tr w:rsidR="00785968" w:rsidRPr="00E72A73" w14:paraId="3BBD16E8" w14:textId="77777777" w:rsidTr="00785968">
        <w:tc>
          <w:tcPr>
            <w:tcW w:w="9918" w:type="dxa"/>
            <w:gridSpan w:val="4"/>
            <w:shd w:val="clear" w:color="auto" w:fill="B6ECFF" w:themeFill="accent4" w:themeFillTint="33"/>
          </w:tcPr>
          <w:p w14:paraId="36CEEF3F" w14:textId="7F2E2940" w:rsidR="00785968" w:rsidRPr="00E72A73" w:rsidRDefault="00785968" w:rsidP="00D2479F">
            <w:pPr>
              <w:rPr>
                <w:rFonts w:cs="Arial"/>
                <w:szCs w:val="20"/>
              </w:rPr>
            </w:pPr>
            <w:r>
              <w:rPr>
                <w:rFonts w:cs="Arial"/>
                <w:szCs w:val="20"/>
              </w:rPr>
              <w:t xml:space="preserve">Original description from 2013 until October 2019 </w:t>
            </w:r>
            <w:r>
              <w:rPr>
                <w:rFonts w:cs="Arial"/>
                <w:szCs w:val="20"/>
              </w:rPr>
              <w:br/>
            </w:r>
            <w:r w:rsidRPr="006C394C">
              <w:t>AB13/6 – 11 November 2013</w:t>
            </w:r>
            <w:r>
              <w:t>.</w:t>
            </w:r>
          </w:p>
        </w:tc>
      </w:tr>
      <w:tr w:rsidR="00785968" w:rsidRPr="00E72A73" w14:paraId="174637C5" w14:textId="77777777" w:rsidTr="00D2479F">
        <w:tc>
          <w:tcPr>
            <w:tcW w:w="1101" w:type="dxa"/>
            <w:shd w:val="clear" w:color="auto" w:fill="auto"/>
          </w:tcPr>
          <w:p w14:paraId="2FB42173" w14:textId="77777777" w:rsidR="00785968" w:rsidRPr="00E72A73" w:rsidRDefault="00785968" w:rsidP="00D2479F">
            <w:pPr>
              <w:rPr>
                <w:rFonts w:cs="Arial"/>
                <w:b/>
                <w:szCs w:val="20"/>
              </w:rPr>
            </w:pPr>
            <w:r w:rsidRPr="00E72A73">
              <w:rPr>
                <w:rFonts w:cs="Arial"/>
                <w:szCs w:val="20"/>
              </w:rPr>
              <w:t>Flexible</w:t>
            </w:r>
            <w:r>
              <w:rPr>
                <w:rFonts w:cs="Arial"/>
                <w:szCs w:val="20"/>
              </w:rPr>
              <w:t>*</w:t>
            </w:r>
          </w:p>
        </w:tc>
        <w:tc>
          <w:tcPr>
            <w:tcW w:w="3118" w:type="dxa"/>
            <w:shd w:val="clear" w:color="auto" w:fill="auto"/>
          </w:tcPr>
          <w:p w14:paraId="2C74182A" w14:textId="77777777" w:rsidR="00785968" w:rsidRPr="00E72A73" w:rsidRDefault="00785968" w:rsidP="00D2479F">
            <w:pPr>
              <w:rPr>
                <w:rFonts w:cs="Arial"/>
                <w:b/>
                <w:szCs w:val="20"/>
              </w:rPr>
            </w:pPr>
            <w:r w:rsidRPr="00E72A73">
              <w:rPr>
                <w:rFonts w:cs="Arial"/>
                <w:szCs w:val="20"/>
              </w:rPr>
              <w:t>On-campus activities (optional) and online content</w:t>
            </w:r>
          </w:p>
        </w:tc>
        <w:tc>
          <w:tcPr>
            <w:tcW w:w="3856" w:type="dxa"/>
            <w:shd w:val="clear" w:color="auto" w:fill="auto"/>
          </w:tcPr>
          <w:p w14:paraId="7CCFBF7F" w14:textId="77777777" w:rsidR="00785968" w:rsidRPr="00E72A73" w:rsidRDefault="00785968" w:rsidP="00D2479F">
            <w:pPr>
              <w:rPr>
                <w:rFonts w:cs="Arial"/>
                <w:b/>
                <w:szCs w:val="20"/>
              </w:rPr>
            </w:pPr>
            <w:r w:rsidRPr="00E72A73">
              <w:rPr>
                <w:rFonts w:cs="Arial"/>
                <w:szCs w:val="20"/>
              </w:rPr>
              <w:t>On-campus activities and online materials are both available. On campus attendance is not required.</w:t>
            </w:r>
          </w:p>
        </w:tc>
        <w:tc>
          <w:tcPr>
            <w:tcW w:w="1843" w:type="dxa"/>
            <w:shd w:val="clear" w:color="auto" w:fill="auto"/>
          </w:tcPr>
          <w:p w14:paraId="48F26CD6" w14:textId="6C432663" w:rsidR="00785968" w:rsidRPr="00785968" w:rsidRDefault="00785968" w:rsidP="00D2479F">
            <w:pPr>
              <w:rPr>
                <w:rFonts w:cs="Arial"/>
                <w:szCs w:val="20"/>
              </w:rPr>
            </w:pPr>
            <w:r w:rsidRPr="00E72A73">
              <w:rPr>
                <w:rFonts w:cs="Arial"/>
                <w:szCs w:val="20"/>
              </w:rPr>
              <w:t>Multi-mode</w:t>
            </w:r>
          </w:p>
        </w:tc>
      </w:tr>
      <w:tr w:rsidR="00785968" w:rsidRPr="00E72A73" w14:paraId="652FDFEE" w14:textId="77777777" w:rsidTr="00785968">
        <w:tc>
          <w:tcPr>
            <w:tcW w:w="9918" w:type="dxa"/>
            <w:gridSpan w:val="4"/>
            <w:shd w:val="clear" w:color="auto" w:fill="B6ECFF" w:themeFill="accent4" w:themeFillTint="33"/>
          </w:tcPr>
          <w:p w14:paraId="66945FE6" w14:textId="74815685" w:rsidR="00785968" w:rsidRPr="00E72A73" w:rsidRDefault="00785968" w:rsidP="00785968">
            <w:pPr>
              <w:rPr>
                <w:rFonts w:cs="Arial"/>
                <w:szCs w:val="20"/>
              </w:rPr>
            </w:pPr>
            <w:r>
              <w:rPr>
                <w:rFonts w:cs="Arial"/>
                <w:szCs w:val="20"/>
              </w:rPr>
              <w:t>Revised description active from 3 October 2019</w:t>
            </w:r>
            <w:r>
              <w:rPr>
                <w:rFonts w:cs="Arial"/>
                <w:szCs w:val="20"/>
              </w:rPr>
              <w:br/>
              <w:t xml:space="preserve">Academic Board </w:t>
            </w:r>
            <w:r>
              <w:rPr>
                <w:szCs w:val="20"/>
              </w:rPr>
              <w:t>AB19/5 2 October 2019</w:t>
            </w:r>
          </w:p>
        </w:tc>
      </w:tr>
      <w:tr w:rsidR="00785968" w:rsidRPr="00E72A73" w14:paraId="40B8CA49" w14:textId="77777777" w:rsidTr="00D2479F">
        <w:tc>
          <w:tcPr>
            <w:tcW w:w="1101" w:type="dxa"/>
            <w:shd w:val="clear" w:color="auto" w:fill="auto"/>
          </w:tcPr>
          <w:p w14:paraId="1B1944A6" w14:textId="2E84B9A8" w:rsidR="00785968" w:rsidRPr="00E72A73" w:rsidRDefault="00785968" w:rsidP="00785968">
            <w:pPr>
              <w:rPr>
                <w:rFonts w:cs="Arial"/>
                <w:szCs w:val="20"/>
              </w:rPr>
            </w:pPr>
            <w:r w:rsidRPr="00E72A73">
              <w:rPr>
                <w:rFonts w:cs="Arial"/>
                <w:szCs w:val="20"/>
              </w:rPr>
              <w:t>Flexible</w:t>
            </w:r>
            <w:r>
              <w:rPr>
                <w:rFonts w:cs="Arial"/>
                <w:szCs w:val="20"/>
              </w:rPr>
              <w:t>*</w:t>
            </w:r>
          </w:p>
        </w:tc>
        <w:tc>
          <w:tcPr>
            <w:tcW w:w="3118" w:type="dxa"/>
            <w:shd w:val="clear" w:color="auto" w:fill="auto"/>
          </w:tcPr>
          <w:p w14:paraId="336B624E" w14:textId="2E5A61E1" w:rsidR="00785968" w:rsidRPr="00785968" w:rsidRDefault="00785968" w:rsidP="00785968">
            <w:pPr>
              <w:rPr>
                <w:rFonts w:cs="Arial"/>
                <w:szCs w:val="20"/>
              </w:rPr>
            </w:pPr>
            <w:r w:rsidRPr="00785968">
              <w:rPr>
                <w:rFonts w:cs="Arial"/>
                <w:szCs w:val="20"/>
              </w:rPr>
              <w:t>On-campus activities and online content options</w:t>
            </w:r>
          </w:p>
        </w:tc>
        <w:tc>
          <w:tcPr>
            <w:tcW w:w="3856" w:type="dxa"/>
            <w:shd w:val="clear" w:color="auto" w:fill="auto"/>
          </w:tcPr>
          <w:p w14:paraId="39A7278C" w14:textId="7634E9CF" w:rsidR="00785968" w:rsidRPr="00785968" w:rsidRDefault="00785968" w:rsidP="00785968">
            <w:pPr>
              <w:rPr>
                <w:rFonts w:cs="Arial"/>
                <w:szCs w:val="20"/>
              </w:rPr>
            </w:pPr>
            <w:r w:rsidRPr="00785968">
              <w:rPr>
                <w:rFonts w:cs="Arial"/>
                <w:szCs w:val="20"/>
              </w:rPr>
              <w:t>On-campus activities and online materials are both available. On campus attendance may be required for specific activities.</w:t>
            </w:r>
          </w:p>
        </w:tc>
        <w:tc>
          <w:tcPr>
            <w:tcW w:w="1843" w:type="dxa"/>
            <w:shd w:val="clear" w:color="auto" w:fill="auto"/>
          </w:tcPr>
          <w:p w14:paraId="5CA4FE33" w14:textId="4CD138B5" w:rsidR="00785968" w:rsidRPr="00E72A73" w:rsidRDefault="00785968" w:rsidP="00785968">
            <w:pPr>
              <w:rPr>
                <w:rFonts w:cs="Arial"/>
                <w:szCs w:val="20"/>
              </w:rPr>
            </w:pPr>
            <w:r w:rsidRPr="00E72A73">
              <w:rPr>
                <w:rFonts w:cs="Arial"/>
                <w:szCs w:val="20"/>
              </w:rPr>
              <w:t>Multi-mode</w:t>
            </w:r>
          </w:p>
        </w:tc>
      </w:tr>
    </w:tbl>
    <w:p w14:paraId="4C5365FF" w14:textId="77777777" w:rsidR="00785968" w:rsidRPr="00E72A73" w:rsidRDefault="00785968" w:rsidP="00EF4AEB">
      <w:pPr>
        <w:rPr>
          <w:szCs w:val="20"/>
        </w:rPr>
      </w:pPr>
    </w:p>
    <w:p w14:paraId="777E496C" w14:textId="59588ACE" w:rsidR="00D86959" w:rsidRDefault="00785968" w:rsidP="00EF4AEB">
      <w:pPr>
        <w:pStyle w:val="Heading2"/>
      </w:pPr>
      <w:r>
        <w:t>Unit levels</w:t>
      </w:r>
    </w:p>
    <w:p w14:paraId="34D1F533" w14:textId="20E117B1" w:rsidR="00785968" w:rsidRDefault="00785968" w:rsidP="00785968">
      <w:pPr>
        <w:rPr>
          <w:szCs w:val="20"/>
        </w:rPr>
      </w:pPr>
      <w:r>
        <w:t xml:space="preserve">Authority: </w:t>
      </w:r>
      <w:r>
        <w:rPr>
          <w:rFonts w:cs="Arial"/>
          <w:szCs w:val="20"/>
        </w:rPr>
        <w:t xml:space="preserve">Academic Board </w:t>
      </w:r>
      <w:r>
        <w:rPr>
          <w:szCs w:val="20"/>
        </w:rPr>
        <w:t>AB19/5 2 October 2019</w:t>
      </w:r>
    </w:p>
    <w:p w14:paraId="105B1169" w14:textId="77777777" w:rsidR="00785968" w:rsidRDefault="00785968" w:rsidP="00785968">
      <w:pPr>
        <w:pStyle w:val="ListParagraph"/>
        <w:numPr>
          <w:ilvl w:val="0"/>
          <w:numId w:val="2"/>
        </w:numPr>
        <w:spacing w:before="120" w:after="120"/>
      </w:pPr>
      <w:r>
        <w:t>Undergraduate unit levels will be displayed to students on the Course and Units Database as Level 1, Level 2, Level 3, Level 4;</w:t>
      </w:r>
    </w:p>
    <w:p w14:paraId="10B7973B" w14:textId="77777777" w:rsidR="00785968" w:rsidRDefault="00785968" w:rsidP="00785968">
      <w:pPr>
        <w:pStyle w:val="ListParagraph"/>
        <w:numPr>
          <w:ilvl w:val="0"/>
          <w:numId w:val="2"/>
        </w:numPr>
        <w:spacing w:before="120" w:after="120"/>
      </w:pPr>
      <w:r>
        <w:t>That for Course Development purposes to ensure an appropriately scaffolded learning experience for students that the meanings and descriptors in Table 1 are used and applied;</w:t>
      </w:r>
    </w:p>
    <w:p w14:paraId="76732095" w14:textId="77777777" w:rsidR="00785968" w:rsidRPr="002544B2" w:rsidRDefault="00785968" w:rsidP="00785968">
      <w:pPr>
        <w:pStyle w:val="Heading7"/>
      </w:pPr>
      <w:r w:rsidRPr="002544B2">
        <w:t>Table 1</w:t>
      </w:r>
    </w:p>
    <w:tbl>
      <w:tblPr>
        <w:tblStyle w:val="TableGrid"/>
        <w:tblW w:w="0" w:type="auto"/>
        <w:tblLook w:val="04A0" w:firstRow="1" w:lastRow="0" w:firstColumn="1" w:lastColumn="0" w:noHBand="0" w:noVBand="1"/>
      </w:tblPr>
      <w:tblGrid>
        <w:gridCol w:w="988"/>
        <w:gridCol w:w="1281"/>
        <w:gridCol w:w="7649"/>
      </w:tblGrid>
      <w:tr w:rsidR="00785968" w14:paraId="635A32BE" w14:textId="77777777" w:rsidTr="00112F9B">
        <w:tc>
          <w:tcPr>
            <w:tcW w:w="988" w:type="dxa"/>
          </w:tcPr>
          <w:p w14:paraId="39B5F42F" w14:textId="77777777" w:rsidR="00785968" w:rsidRPr="00821708" w:rsidRDefault="00785968" w:rsidP="00D2479F">
            <w:pPr>
              <w:spacing w:before="120" w:after="120"/>
              <w:rPr>
                <w:rFonts w:asciiTheme="minorHAnsi" w:hAnsiTheme="minorHAnsi" w:cstheme="minorHAnsi"/>
                <w:b/>
                <w:bCs/>
              </w:rPr>
            </w:pPr>
            <w:r w:rsidRPr="00821708">
              <w:rPr>
                <w:rFonts w:asciiTheme="minorHAnsi" w:hAnsiTheme="minorHAnsi" w:cstheme="minorHAnsi"/>
                <w:b/>
                <w:bCs/>
              </w:rPr>
              <w:t>Level</w:t>
            </w:r>
          </w:p>
        </w:tc>
        <w:tc>
          <w:tcPr>
            <w:tcW w:w="1281" w:type="dxa"/>
          </w:tcPr>
          <w:p w14:paraId="146572E3" w14:textId="77777777" w:rsidR="00785968" w:rsidRPr="00821708" w:rsidRDefault="00785968" w:rsidP="00D2479F">
            <w:pPr>
              <w:spacing w:before="120" w:after="120"/>
              <w:rPr>
                <w:rFonts w:asciiTheme="minorHAnsi" w:hAnsiTheme="minorHAnsi" w:cstheme="minorHAnsi"/>
                <w:b/>
                <w:bCs/>
              </w:rPr>
            </w:pPr>
            <w:r>
              <w:rPr>
                <w:rFonts w:asciiTheme="minorHAnsi" w:hAnsiTheme="minorHAnsi" w:cstheme="minorHAnsi"/>
                <w:b/>
                <w:bCs/>
              </w:rPr>
              <w:t>Meaning</w:t>
            </w:r>
          </w:p>
        </w:tc>
        <w:tc>
          <w:tcPr>
            <w:tcW w:w="7649" w:type="dxa"/>
          </w:tcPr>
          <w:p w14:paraId="12F530B4" w14:textId="77777777" w:rsidR="00785968" w:rsidRPr="00821708" w:rsidRDefault="00785968" w:rsidP="00D2479F">
            <w:pPr>
              <w:spacing w:before="120" w:after="120"/>
              <w:rPr>
                <w:rFonts w:asciiTheme="minorHAnsi" w:hAnsiTheme="minorHAnsi" w:cstheme="minorHAnsi"/>
                <w:b/>
                <w:bCs/>
              </w:rPr>
            </w:pPr>
            <w:r w:rsidRPr="00821708">
              <w:rPr>
                <w:rFonts w:asciiTheme="minorHAnsi" w:hAnsiTheme="minorHAnsi" w:cstheme="minorHAnsi"/>
                <w:b/>
                <w:bCs/>
              </w:rPr>
              <w:t>Descriptor</w:t>
            </w:r>
          </w:p>
        </w:tc>
      </w:tr>
      <w:tr w:rsidR="00785968" w14:paraId="68B8D9AF" w14:textId="77777777" w:rsidTr="00112F9B">
        <w:tc>
          <w:tcPr>
            <w:tcW w:w="988" w:type="dxa"/>
          </w:tcPr>
          <w:p w14:paraId="16599C8F" w14:textId="77777777" w:rsidR="00785968" w:rsidRPr="00821708" w:rsidRDefault="00785968" w:rsidP="00D2479F">
            <w:pPr>
              <w:spacing w:before="120" w:after="120"/>
              <w:rPr>
                <w:rFonts w:asciiTheme="minorHAnsi" w:hAnsiTheme="minorHAnsi" w:cstheme="minorHAnsi"/>
              </w:rPr>
            </w:pPr>
            <w:r w:rsidRPr="00821708">
              <w:rPr>
                <w:rFonts w:asciiTheme="minorHAnsi" w:hAnsiTheme="minorHAnsi" w:cstheme="minorHAnsi"/>
              </w:rPr>
              <w:t>Level 1</w:t>
            </w:r>
          </w:p>
        </w:tc>
        <w:tc>
          <w:tcPr>
            <w:tcW w:w="1281" w:type="dxa"/>
          </w:tcPr>
          <w:p w14:paraId="06D7E542" w14:textId="77777777" w:rsidR="00785968" w:rsidRPr="00821708" w:rsidRDefault="00785968" w:rsidP="00D2479F">
            <w:pPr>
              <w:spacing w:before="120" w:after="120"/>
              <w:rPr>
                <w:rFonts w:asciiTheme="minorHAnsi" w:hAnsiTheme="minorHAnsi" w:cstheme="minorHAnsi"/>
              </w:rPr>
            </w:pPr>
            <w:r>
              <w:rPr>
                <w:rFonts w:asciiTheme="minorHAnsi" w:hAnsiTheme="minorHAnsi" w:cstheme="minorHAnsi"/>
              </w:rPr>
              <w:t>Introductory</w:t>
            </w:r>
          </w:p>
        </w:tc>
        <w:tc>
          <w:tcPr>
            <w:tcW w:w="7649" w:type="dxa"/>
          </w:tcPr>
          <w:p w14:paraId="2382B725" w14:textId="77777777" w:rsidR="00785968" w:rsidRPr="00112F9B" w:rsidRDefault="00785968" w:rsidP="00112F9B">
            <w:r w:rsidRPr="00112F9B">
              <w:t>The unit learning outcome(s) introduces concepts/skills contributing to the mapped CLO*(s). Typically, early year units provide learning experiences on a foundation-level and assess the skills achieved at this level.</w:t>
            </w:r>
          </w:p>
        </w:tc>
      </w:tr>
      <w:tr w:rsidR="00785968" w14:paraId="27365902" w14:textId="77777777" w:rsidTr="00112F9B">
        <w:tc>
          <w:tcPr>
            <w:tcW w:w="988" w:type="dxa"/>
          </w:tcPr>
          <w:p w14:paraId="16840736" w14:textId="77777777" w:rsidR="00785968" w:rsidRPr="00821708" w:rsidRDefault="00785968" w:rsidP="00D2479F">
            <w:pPr>
              <w:spacing w:before="120" w:after="120"/>
              <w:rPr>
                <w:rFonts w:asciiTheme="minorHAnsi" w:hAnsiTheme="minorHAnsi" w:cstheme="minorHAnsi"/>
              </w:rPr>
            </w:pPr>
            <w:r w:rsidRPr="00821708">
              <w:rPr>
                <w:rFonts w:asciiTheme="minorHAnsi" w:hAnsiTheme="minorHAnsi" w:cstheme="minorHAnsi"/>
              </w:rPr>
              <w:t>Level 2</w:t>
            </w:r>
          </w:p>
        </w:tc>
        <w:tc>
          <w:tcPr>
            <w:tcW w:w="1281" w:type="dxa"/>
          </w:tcPr>
          <w:p w14:paraId="62156706" w14:textId="77777777" w:rsidR="00785968" w:rsidRPr="00821708" w:rsidRDefault="00785968" w:rsidP="00D2479F">
            <w:pPr>
              <w:spacing w:before="120" w:after="120"/>
              <w:rPr>
                <w:rFonts w:asciiTheme="minorHAnsi" w:hAnsiTheme="minorHAnsi" w:cstheme="minorHAnsi"/>
              </w:rPr>
            </w:pPr>
            <w:r w:rsidRPr="00821708">
              <w:rPr>
                <w:rFonts w:asciiTheme="minorHAnsi" w:hAnsiTheme="minorHAnsi" w:cstheme="minorHAnsi"/>
              </w:rPr>
              <w:t>Intermediate</w:t>
            </w:r>
          </w:p>
        </w:tc>
        <w:tc>
          <w:tcPr>
            <w:tcW w:w="7649" w:type="dxa"/>
          </w:tcPr>
          <w:p w14:paraId="6A1E4B29" w14:textId="77777777" w:rsidR="00785968" w:rsidRPr="00112F9B" w:rsidRDefault="00785968" w:rsidP="00112F9B">
            <w:r w:rsidRPr="00112F9B">
              <w:t>The unit learning outcome(s) further develops the concepts/skills pertaining to the mapped CLO(s). Middle year units typically contribute to broadening and deepening of the scope of knowledge and application to a range of contexts, assessing achievement of CLO attributes on this development level</w:t>
            </w:r>
          </w:p>
        </w:tc>
      </w:tr>
      <w:tr w:rsidR="00785968" w14:paraId="18A8735F" w14:textId="77777777" w:rsidTr="00112F9B">
        <w:tc>
          <w:tcPr>
            <w:tcW w:w="988" w:type="dxa"/>
          </w:tcPr>
          <w:p w14:paraId="6B0177E4" w14:textId="77777777" w:rsidR="00785968" w:rsidRPr="00821708" w:rsidRDefault="00785968" w:rsidP="00D2479F">
            <w:pPr>
              <w:spacing w:before="120" w:after="120"/>
              <w:rPr>
                <w:rFonts w:asciiTheme="minorHAnsi" w:hAnsiTheme="minorHAnsi" w:cstheme="minorHAnsi"/>
              </w:rPr>
            </w:pPr>
            <w:r w:rsidRPr="00821708">
              <w:rPr>
                <w:rFonts w:asciiTheme="minorHAnsi" w:hAnsiTheme="minorHAnsi" w:cstheme="minorHAnsi"/>
              </w:rPr>
              <w:t>Level 3</w:t>
            </w:r>
          </w:p>
        </w:tc>
        <w:tc>
          <w:tcPr>
            <w:tcW w:w="1281" w:type="dxa"/>
          </w:tcPr>
          <w:p w14:paraId="326161B0" w14:textId="77777777" w:rsidR="00785968" w:rsidRPr="00821708" w:rsidRDefault="00785968" w:rsidP="00D2479F">
            <w:pPr>
              <w:spacing w:before="120" w:after="120"/>
              <w:rPr>
                <w:rFonts w:asciiTheme="minorHAnsi" w:hAnsiTheme="minorHAnsi" w:cstheme="minorHAnsi"/>
              </w:rPr>
            </w:pPr>
            <w:r w:rsidRPr="00821708">
              <w:rPr>
                <w:rFonts w:asciiTheme="minorHAnsi" w:hAnsiTheme="minorHAnsi" w:cstheme="minorHAnsi"/>
              </w:rPr>
              <w:t>Advanced</w:t>
            </w:r>
          </w:p>
        </w:tc>
        <w:tc>
          <w:tcPr>
            <w:tcW w:w="7649" w:type="dxa"/>
          </w:tcPr>
          <w:p w14:paraId="5CED5A27" w14:textId="4AE2B3D1" w:rsidR="00785968" w:rsidRPr="00112F9B" w:rsidRDefault="00112F9B" w:rsidP="00112F9B">
            <w:r>
              <w:t>T</w:t>
            </w:r>
            <w:r w:rsidR="00785968" w:rsidRPr="00112F9B">
              <w:t>he unit learning outcome(s) further deepens the knowledge and skills and application to a range of context or specialised areas pertaining to the mapped CLO(s). Later year units are the advanced level units that are typically responsible to assess outcomes at the level expected of a graduate.</w:t>
            </w:r>
          </w:p>
        </w:tc>
      </w:tr>
      <w:tr w:rsidR="00785968" w14:paraId="0217390E" w14:textId="77777777" w:rsidTr="00112F9B">
        <w:tc>
          <w:tcPr>
            <w:tcW w:w="988" w:type="dxa"/>
          </w:tcPr>
          <w:p w14:paraId="115EB7E4" w14:textId="77777777" w:rsidR="00785968" w:rsidRPr="00821708" w:rsidRDefault="00785968" w:rsidP="00D2479F">
            <w:pPr>
              <w:spacing w:before="120" w:after="120"/>
              <w:rPr>
                <w:rFonts w:asciiTheme="minorHAnsi" w:hAnsiTheme="minorHAnsi" w:cstheme="minorHAnsi"/>
              </w:rPr>
            </w:pPr>
            <w:r w:rsidRPr="00821708">
              <w:rPr>
                <w:rFonts w:asciiTheme="minorHAnsi" w:hAnsiTheme="minorHAnsi" w:cstheme="minorHAnsi"/>
              </w:rPr>
              <w:t xml:space="preserve">Level 4 </w:t>
            </w:r>
          </w:p>
        </w:tc>
        <w:tc>
          <w:tcPr>
            <w:tcW w:w="1281" w:type="dxa"/>
          </w:tcPr>
          <w:p w14:paraId="79C15807" w14:textId="77777777" w:rsidR="00785968" w:rsidRPr="00821708" w:rsidRDefault="00785968" w:rsidP="00D2479F">
            <w:pPr>
              <w:spacing w:before="120" w:after="120"/>
              <w:rPr>
                <w:rFonts w:asciiTheme="minorHAnsi" w:hAnsiTheme="minorHAnsi" w:cstheme="minorHAnsi"/>
              </w:rPr>
            </w:pPr>
            <w:r w:rsidRPr="00821708">
              <w:rPr>
                <w:rFonts w:asciiTheme="minorHAnsi" w:hAnsiTheme="minorHAnsi" w:cstheme="minorHAnsi"/>
              </w:rPr>
              <w:t>Advanced</w:t>
            </w:r>
            <w:r>
              <w:rPr>
                <w:rFonts w:asciiTheme="minorHAnsi" w:hAnsiTheme="minorHAnsi" w:cstheme="minorHAnsi"/>
              </w:rPr>
              <w:t>**</w:t>
            </w:r>
          </w:p>
        </w:tc>
        <w:tc>
          <w:tcPr>
            <w:tcW w:w="7649" w:type="dxa"/>
          </w:tcPr>
          <w:p w14:paraId="095AF936" w14:textId="40DFADD0" w:rsidR="00785968" w:rsidRPr="00112F9B" w:rsidRDefault="00112F9B" w:rsidP="00112F9B">
            <w:r>
              <w:t>T</w:t>
            </w:r>
            <w:r w:rsidR="00785968" w:rsidRPr="00112F9B">
              <w:t>he unit learning outcome(s) further deepens the knowledge and skills and application to a range of context or specialised areas pertaining to the mapped CLO(s). Later year units are the advanced level units that are typically responsible to assess outcomes at the level expected of a graduate.</w:t>
            </w:r>
          </w:p>
        </w:tc>
      </w:tr>
    </w:tbl>
    <w:p w14:paraId="7656A003" w14:textId="77777777" w:rsidR="00785968" w:rsidRPr="00785968" w:rsidRDefault="00785968" w:rsidP="00785968"/>
    <w:sectPr w:rsidR="00785968" w:rsidRPr="00785968" w:rsidSect="00517034">
      <w:headerReference w:type="default" r:id="rId8"/>
      <w:footerReference w:type="default" r:id="rId9"/>
      <w:endnotePr>
        <w:numFmt w:val="decimal"/>
      </w:endnotePr>
      <w:pgSz w:w="11906" w:h="16838"/>
      <w:pgMar w:top="2268" w:right="851" w:bottom="187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D9C36" w14:textId="77777777" w:rsidR="00EF4AEB" w:rsidRDefault="00EF4AEB" w:rsidP="00D86959">
      <w:pPr>
        <w:spacing w:after="0" w:line="240" w:lineRule="auto"/>
      </w:pPr>
      <w:r>
        <w:separator/>
      </w:r>
    </w:p>
  </w:endnote>
  <w:endnote w:type="continuationSeparator" w:id="0">
    <w:p w14:paraId="41DCB91B" w14:textId="77777777" w:rsidR="00EF4AEB" w:rsidRDefault="00EF4AEB" w:rsidP="00D8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159193"/>
      <w:docPartObj>
        <w:docPartGallery w:val="Page Numbers (Bottom of Page)"/>
        <w:docPartUnique/>
      </w:docPartObj>
    </w:sdtPr>
    <w:sdtEndPr>
      <w:rPr>
        <w:noProof/>
      </w:rPr>
    </w:sdtEndPr>
    <w:sdtContent>
      <w:p w14:paraId="6648AA55" w14:textId="77777777" w:rsidR="00D464BC" w:rsidRDefault="00D464BC" w:rsidP="00E50B6C">
        <w:pPr>
          <w:pStyle w:val="Footer"/>
          <w:ind w:firstLine="720"/>
          <w:jc w:val="right"/>
        </w:pPr>
        <w:r w:rsidRPr="00D464BC">
          <w:rPr>
            <w:b/>
            <w:color w:val="00A9CE" w:themeColor="accent1"/>
          </w:rPr>
          <w:fldChar w:fldCharType="begin"/>
        </w:r>
        <w:r w:rsidRPr="00D464BC">
          <w:rPr>
            <w:b/>
            <w:color w:val="00A9CE" w:themeColor="accent1"/>
          </w:rPr>
          <w:instrText xml:space="preserve"> PAGE   \* MERGEFORMAT </w:instrText>
        </w:r>
        <w:r w:rsidRPr="00D464BC">
          <w:rPr>
            <w:b/>
            <w:color w:val="00A9CE" w:themeColor="accent1"/>
          </w:rPr>
          <w:fldChar w:fldCharType="separate"/>
        </w:r>
        <w:r w:rsidR="00F96FB1">
          <w:rPr>
            <w:b/>
            <w:noProof/>
            <w:color w:val="00A9CE" w:themeColor="accent1"/>
          </w:rPr>
          <w:t>1</w:t>
        </w:r>
        <w:r w:rsidRPr="00D464BC">
          <w:rPr>
            <w:b/>
            <w:noProof/>
            <w:color w:val="00A9CE" w:themeColor="accent1"/>
          </w:rPr>
          <w:fldChar w:fldCharType="end"/>
        </w:r>
      </w:p>
    </w:sdtContent>
  </w:sdt>
  <w:p w14:paraId="0CBB7844" w14:textId="77777777" w:rsidR="00D464BC" w:rsidRDefault="00D4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A766" w14:textId="77777777" w:rsidR="00EF4AEB" w:rsidRDefault="00EF4AEB" w:rsidP="00D86959">
      <w:pPr>
        <w:spacing w:after="0" w:line="240" w:lineRule="auto"/>
      </w:pPr>
      <w:r>
        <w:separator/>
      </w:r>
    </w:p>
  </w:footnote>
  <w:footnote w:type="continuationSeparator" w:id="0">
    <w:p w14:paraId="75FACFB4" w14:textId="77777777" w:rsidR="00EF4AEB" w:rsidRDefault="00EF4AEB" w:rsidP="00D86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1255" w14:textId="77777777" w:rsidR="00D86959" w:rsidRDefault="00D86959">
    <w:pPr>
      <w:pStyle w:val="Header"/>
    </w:pPr>
    <w:r>
      <w:rPr>
        <w:noProof/>
        <w:lang w:val="en-GB" w:eastAsia="en-GB"/>
      </w:rPr>
      <w:drawing>
        <wp:anchor distT="0" distB="0" distL="114300" distR="114300" simplePos="0" relativeHeight="251658240" behindDoc="1" locked="0" layoutInCell="1" allowOverlap="1" wp14:anchorId="1F4D9C90" wp14:editId="7F7BF343">
          <wp:simplePos x="0" y="0"/>
          <wp:positionH relativeFrom="page">
            <wp:posOffset>13441</wp:posOffset>
          </wp:positionH>
          <wp:positionV relativeFrom="page">
            <wp:posOffset>12700</wp:posOffset>
          </wp:positionV>
          <wp:extent cx="7533318" cy="10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F78C1"/>
    <w:multiLevelType w:val="hybridMultilevel"/>
    <w:tmpl w:val="9B301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C11975"/>
    <w:multiLevelType w:val="hybridMultilevel"/>
    <w:tmpl w:val="848EA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F43C0C"/>
    <w:multiLevelType w:val="hybridMultilevel"/>
    <w:tmpl w:val="C94E2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EB"/>
    <w:rsid w:val="000525FA"/>
    <w:rsid w:val="000917FB"/>
    <w:rsid w:val="00112F9B"/>
    <w:rsid w:val="00190819"/>
    <w:rsid w:val="001A120A"/>
    <w:rsid w:val="0020035C"/>
    <w:rsid w:val="00246D08"/>
    <w:rsid w:val="00517034"/>
    <w:rsid w:val="0053679C"/>
    <w:rsid w:val="0055062A"/>
    <w:rsid w:val="005F6DC0"/>
    <w:rsid w:val="00601CD7"/>
    <w:rsid w:val="00674D6E"/>
    <w:rsid w:val="00785968"/>
    <w:rsid w:val="0079575C"/>
    <w:rsid w:val="00A96274"/>
    <w:rsid w:val="00B404B1"/>
    <w:rsid w:val="00C726C4"/>
    <w:rsid w:val="00D464BC"/>
    <w:rsid w:val="00D64D7F"/>
    <w:rsid w:val="00D86144"/>
    <w:rsid w:val="00D86959"/>
    <w:rsid w:val="00E50B6C"/>
    <w:rsid w:val="00EF4AEB"/>
    <w:rsid w:val="00F35DB0"/>
    <w:rsid w:val="00F96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D22EC"/>
  <w15:docId w15:val="{3466F142-BBFE-415F-AD25-905488C7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2F9B"/>
    <w:pPr>
      <w:spacing w:line="264" w:lineRule="auto"/>
    </w:pPr>
    <w:rPr>
      <w:rFonts w:ascii="Calibri" w:hAnsi="Calibri"/>
      <w:color w:val="58595B" w:themeColor="accent2"/>
      <w:sz w:val="20"/>
    </w:rPr>
  </w:style>
  <w:style w:type="paragraph" w:styleId="Heading1">
    <w:name w:val="heading 1"/>
    <w:basedOn w:val="Normal"/>
    <w:next w:val="Normal"/>
    <w:link w:val="Heading1Char"/>
    <w:uiPriority w:val="9"/>
    <w:qFormat/>
    <w:rsid w:val="00D86959"/>
    <w:pPr>
      <w:keepNext/>
      <w:keepLines/>
      <w:spacing w:after="480" w:line="240" w:lineRule="auto"/>
      <w:outlineLvl w:val="0"/>
    </w:pPr>
    <w:rPr>
      <w:rFonts w:asciiTheme="majorHAnsi" w:eastAsiaTheme="majorEastAsia" w:hAnsiTheme="majorHAnsi" w:cstheme="majorBidi"/>
      <w:b/>
      <w:bCs/>
      <w:color w:val="00A9CE" w:themeColor="accent1"/>
      <w:sz w:val="60"/>
      <w:szCs w:val="28"/>
    </w:rPr>
  </w:style>
  <w:style w:type="paragraph" w:styleId="Heading2">
    <w:name w:val="heading 2"/>
    <w:basedOn w:val="Normal"/>
    <w:next w:val="Normal"/>
    <w:link w:val="Heading2Char"/>
    <w:uiPriority w:val="9"/>
    <w:unhideWhenUsed/>
    <w:qFormat/>
    <w:rsid w:val="00D86959"/>
    <w:pPr>
      <w:keepNext/>
      <w:keepLines/>
      <w:spacing w:after="60" w:line="240" w:lineRule="auto"/>
      <w:outlineLvl w:val="1"/>
    </w:pPr>
    <w:rPr>
      <w:rFonts w:asciiTheme="majorHAnsi" w:eastAsiaTheme="majorEastAsia" w:hAnsiTheme="majorHAnsi" w:cstheme="majorBidi"/>
      <w:b/>
      <w:bCs/>
      <w:color w:val="00A9CE" w:themeColor="accent1"/>
      <w:sz w:val="44"/>
      <w:szCs w:val="26"/>
    </w:rPr>
  </w:style>
  <w:style w:type="paragraph" w:styleId="Heading3">
    <w:name w:val="heading 3"/>
    <w:basedOn w:val="Normal"/>
    <w:next w:val="Normal"/>
    <w:link w:val="Heading3Char"/>
    <w:uiPriority w:val="9"/>
    <w:unhideWhenUsed/>
    <w:qFormat/>
    <w:rsid w:val="00D86959"/>
    <w:pPr>
      <w:keepNext/>
      <w:keepLines/>
      <w:spacing w:after="60"/>
      <w:outlineLvl w:val="2"/>
    </w:pPr>
    <w:rPr>
      <w:rFonts w:asciiTheme="majorHAnsi" w:eastAsiaTheme="majorEastAsia" w:hAnsiTheme="majorHAnsi" w:cstheme="majorBidi"/>
      <w:b/>
      <w:bCs/>
      <w:color w:val="00A9CE" w:themeColor="accent1"/>
      <w:sz w:val="32"/>
    </w:rPr>
  </w:style>
  <w:style w:type="paragraph" w:styleId="Heading4">
    <w:name w:val="heading 4"/>
    <w:basedOn w:val="Normal"/>
    <w:next w:val="Normal"/>
    <w:link w:val="Heading4Char"/>
    <w:uiPriority w:val="9"/>
    <w:unhideWhenUsed/>
    <w:qFormat/>
    <w:rsid w:val="00D86959"/>
    <w:pPr>
      <w:keepNext/>
      <w:keepLines/>
      <w:spacing w:after="60"/>
      <w:outlineLvl w:val="3"/>
    </w:pPr>
    <w:rPr>
      <w:rFonts w:asciiTheme="majorHAnsi" w:eastAsiaTheme="majorEastAsia" w:hAnsiTheme="majorHAnsi" w:cstheme="majorBidi"/>
      <w:bCs/>
      <w:iCs/>
      <w:color w:val="00A9CE" w:themeColor="accent1"/>
      <w:sz w:val="28"/>
    </w:rPr>
  </w:style>
  <w:style w:type="paragraph" w:styleId="Heading5">
    <w:name w:val="heading 5"/>
    <w:basedOn w:val="Normal"/>
    <w:next w:val="Normal"/>
    <w:link w:val="Heading5Char"/>
    <w:uiPriority w:val="9"/>
    <w:unhideWhenUsed/>
    <w:qFormat/>
    <w:rsid w:val="00D86959"/>
    <w:pPr>
      <w:keepNext/>
      <w:keepLines/>
      <w:spacing w:after="60"/>
      <w:outlineLvl w:val="4"/>
    </w:pPr>
    <w:rPr>
      <w:rFonts w:asciiTheme="majorHAnsi" w:eastAsiaTheme="majorEastAsia" w:hAnsiTheme="majorHAnsi" w:cstheme="majorBidi"/>
      <w:color w:val="00A9CE" w:themeColor="accent1"/>
      <w:sz w:val="24"/>
    </w:rPr>
  </w:style>
  <w:style w:type="paragraph" w:styleId="Heading7">
    <w:name w:val="heading 7"/>
    <w:basedOn w:val="Normal"/>
    <w:next w:val="Normal"/>
    <w:link w:val="Heading7Char"/>
    <w:uiPriority w:val="9"/>
    <w:semiHidden/>
    <w:unhideWhenUsed/>
    <w:qFormat/>
    <w:rsid w:val="00785968"/>
    <w:pPr>
      <w:keepNext/>
      <w:keepLines/>
      <w:spacing w:before="40" w:after="0"/>
      <w:outlineLvl w:val="6"/>
    </w:pPr>
    <w:rPr>
      <w:rFonts w:asciiTheme="majorHAnsi" w:eastAsiaTheme="majorEastAsia" w:hAnsiTheme="majorHAnsi" w:cstheme="majorBidi"/>
      <w:i/>
      <w:iCs/>
      <w:color w:val="0053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59"/>
  </w:style>
  <w:style w:type="paragraph" w:styleId="Footer">
    <w:name w:val="footer"/>
    <w:basedOn w:val="Normal"/>
    <w:link w:val="FooterChar"/>
    <w:uiPriority w:val="99"/>
    <w:unhideWhenUsed/>
    <w:rsid w:val="00D86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9"/>
    <w:rPr>
      <w:rFonts w:ascii="Tahoma" w:hAnsi="Tahoma" w:cs="Tahoma"/>
      <w:sz w:val="16"/>
      <w:szCs w:val="16"/>
    </w:rPr>
  </w:style>
  <w:style w:type="character" w:customStyle="1" w:styleId="Heading1Char">
    <w:name w:val="Heading 1 Char"/>
    <w:basedOn w:val="DefaultParagraphFont"/>
    <w:link w:val="Heading1"/>
    <w:uiPriority w:val="9"/>
    <w:rsid w:val="00D86959"/>
    <w:rPr>
      <w:rFonts w:asciiTheme="majorHAnsi" w:eastAsiaTheme="majorEastAsia" w:hAnsiTheme="majorHAnsi" w:cstheme="majorBidi"/>
      <w:b/>
      <w:bCs/>
      <w:color w:val="00A9CE" w:themeColor="accent1"/>
      <w:sz w:val="60"/>
      <w:szCs w:val="28"/>
    </w:rPr>
  </w:style>
  <w:style w:type="character" w:customStyle="1" w:styleId="Heading2Char">
    <w:name w:val="Heading 2 Char"/>
    <w:basedOn w:val="DefaultParagraphFont"/>
    <w:link w:val="Heading2"/>
    <w:uiPriority w:val="9"/>
    <w:rsid w:val="00D86959"/>
    <w:rPr>
      <w:rFonts w:asciiTheme="majorHAnsi" w:eastAsiaTheme="majorEastAsia" w:hAnsiTheme="majorHAnsi" w:cstheme="majorBidi"/>
      <w:b/>
      <w:bCs/>
      <w:color w:val="00A9CE" w:themeColor="accent1"/>
      <w:sz w:val="44"/>
      <w:szCs w:val="26"/>
    </w:rPr>
  </w:style>
  <w:style w:type="paragraph" w:customStyle="1" w:styleId="Default">
    <w:name w:val="Default"/>
    <w:rsid w:val="00D869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86959"/>
    <w:pPr>
      <w:spacing w:line="201" w:lineRule="atLeast"/>
    </w:pPr>
    <w:rPr>
      <w:rFonts w:cstheme="minorBidi"/>
      <w:color w:val="auto"/>
    </w:rPr>
  </w:style>
  <w:style w:type="character" w:customStyle="1" w:styleId="Heading3Char">
    <w:name w:val="Heading 3 Char"/>
    <w:basedOn w:val="DefaultParagraphFont"/>
    <w:link w:val="Heading3"/>
    <w:uiPriority w:val="9"/>
    <w:rsid w:val="00D86959"/>
    <w:rPr>
      <w:rFonts w:asciiTheme="majorHAnsi" w:eastAsiaTheme="majorEastAsia" w:hAnsiTheme="majorHAnsi" w:cstheme="majorBidi"/>
      <w:b/>
      <w:bCs/>
      <w:color w:val="00A9CE" w:themeColor="accent1"/>
      <w:sz w:val="32"/>
    </w:rPr>
  </w:style>
  <w:style w:type="paragraph" w:customStyle="1" w:styleId="Italic">
    <w:name w:val="Italic"/>
    <w:basedOn w:val="Normal"/>
    <w:qFormat/>
    <w:rsid w:val="00D64D7F"/>
    <w:pPr>
      <w:spacing w:before="100"/>
    </w:pPr>
    <w:rPr>
      <w:rFonts w:ascii="Georgia" w:hAnsi="Georgia"/>
      <w:i/>
      <w:color w:val="00A9CE" w:themeColor="accent1"/>
    </w:rPr>
  </w:style>
  <w:style w:type="character" w:customStyle="1" w:styleId="Heading4Char">
    <w:name w:val="Heading 4 Char"/>
    <w:basedOn w:val="DefaultParagraphFont"/>
    <w:link w:val="Heading4"/>
    <w:uiPriority w:val="9"/>
    <w:rsid w:val="00D86959"/>
    <w:rPr>
      <w:rFonts w:asciiTheme="majorHAnsi" w:eastAsiaTheme="majorEastAsia" w:hAnsiTheme="majorHAnsi" w:cstheme="majorBidi"/>
      <w:bCs/>
      <w:iCs/>
      <w:color w:val="00A9CE" w:themeColor="accent1"/>
      <w:sz w:val="28"/>
    </w:rPr>
  </w:style>
  <w:style w:type="character" w:customStyle="1" w:styleId="Heading5Char">
    <w:name w:val="Heading 5 Char"/>
    <w:basedOn w:val="DefaultParagraphFont"/>
    <w:link w:val="Heading5"/>
    <w:uiPriority w:val="9"/>
    <w:rsid w:val="00D86959"/>
    <w:rPr>
      <w:rFonts w:asciiTheme="majorHAnsi" w:eastAsiaTheme="majorEastAsia" w:hAnsiTheme="majorHAnsi" w:cstheme="majorBidi"/>
      <w:color w:val="00A9CE" w:themeColor="accent1"/>
      <w:sz w:val="24"/>
    </w:rPr>
  </w:style>
  <w:style w:type="paragraph" w:styleId="EndnoteText">
    <w:name w:val="endnote text"/>
    <w:basedOn w:val="Normal"/>
    <w:link w:val="EndnoteTextChar"/>
    <w:uiPriority w:val="99"/>
    <w:semiHidden/>
    <w:unhideWhenUsed/>
    <w:rsid w:val="00F35DB0"/>
    <w:pPr>
      <w:spacing w:after="0" w:line="240" w:lineRule="auto"/>
    </w:pPr>
    <w:rPr>
      <w:szCs w:val="20"/>
    </w:rPr>
  </w:style>
  <w:style w:type="character" w:customStyle="1" w:styleId="EndnoteTextChar">
    <w:name w:val="Endnote Text Char"/>
    <w:basedOn w:val="DefaultParagraphFont"/>
    <w:link w:val="EndnoteText"/>
    <w:uiPriority w:val="99"/>
    <w:semiHidden/>
    <w:rsid w:val="00F35DB0"/>
    <w:rPr>
      <w:sz w:val="20"/>
      <w:szCs w:val="20"/>
    </w:rPr>
  </w:style>
  <w:style w:type="character" w:styleId="EndnoteReference">
    <w:name w:val="endnote reference"/>
    <w:basedOn w:val="DefaultParagraphFont"/>
    <w:uiPriority w:val="99"/>
    <w:semiHidden/>
    <w:unhideWhenUsed/>
    <w:rsid w:val="00F35DB0"/>
    <w:rPr>
      <w:vertAlign w:val="superscript"/>
    </w:rPr>
  </w:style>
  <w:style w:type="paragraph" w:customStyle="1" w:styleId="Footnote">
    <w:name w:val="Foot note"/>
    <w:basedOn w:val="Default"/>
    <w:qFormat/>
    <w:rsid w:val="00F35DB0"/>
    <w:rPr>
      <w:rFonts w:asciiTheme="minorHAnsi" w:hAnsiTheme="minorHAnsi" w:cs="Myriad Pro"/>
      <w:color w:val="58595B" w:themeColor="accent2"/>
      <w:sz w:val="16"/>
      <w:szCs w:val="16"/>
    </w:rPr>
  </w:style>
  <w:style w:type="paragraph" w:styleId="FootnoteText">
    <w:name w:val="footnote text"/>
    <w:basedOn w:val="Normal"/>
    <w:link w:val="FootnoteTextChar"/>
    <w:uiPriority w:val="99"/>
    <w:semiHidden/>
    <w:unhideWhenUsed/>
    <w:rsid w:val="00B404B1"/>
    <w:pPr>
      <w:spacing w:after="0" w:line="240" w:lineRule="auto"/>
    </w:pPr>
    <w:rPr>
      <w:szCs w:val="20"/>
    </w:rPr>
  </w:style>
  <w:style w:type="character" w:customStyle="1" w:styleId="FootnoteTextChar">
    <w:name w:val="Footnote Text Char"/>
    <w:basedOn w:val="DefaultParagraphFont"/>
    <w:link w:val="FootnoteText"/>
    <w:uiPriority w:val="99"/>
    <w:semiHidden/>
    <w:rsid w:val="00B404B1"/>
    <w:rPr>
      <w:color w:val="58595B" w:themeColor="accent2"/>
      <w:sz w:val="20"/>
      <w:szCs w:val="20"/>
    </w:rPr>
  </w:style>
  <w:style w:type="character" w:styleId="FootnoteReference">
    <w:name w:val="footnote reference"/>
    <w:basedOn w:val="DefaultParagraphFont"/>
    <w:uiPriority w:val="99"/>
    <w:semiHidden/>
    <w:unhideWhenUsed/>
    <w:rsid w:val="00B404B1"/>
    <w:rPr>
      <w:vertAlign w:val="superscript"/>
    </w:rPr>
  </w:style>
  <w:style w:type="character" w:styleId="PlaceholderText">
    <w:name w:val="Placeholder Text"/>
    <w:basedOn w:val="DefaultParagraphFont"/>
    <w:uiPriority w:val="99"/>
    <w:semiHidden/>
    <w:rsid w:val="00190819"/>
    <w:rPr>
      <w:color w:val="808080"/>
    </w:rPr>
  </w:style>
  <w:style w:type="character" w:customStyle="1" w:styleId="Heading7Char">
    <w:name w:val="Heading 7 Char"/>
    <w:basedOn w:val="DefaultParagraphFont"/>
    <w:link w:val="Heading7"/>
    <w:uiPriority w:val="9"/>
    <w:semiHidden/>
    <w:rsid w:val="00785968"/>
    <w:rPr>
      <w:rFonts w:asciiTheme="majorHAnsi" w:eastAsiaTheme="majorEastAsia" w:hAnsiTheme="majorHAnsi" w:cstheme="majorBidi"/>
      <w:i/>
      <w:iCs/>
      <w:color w:val="005366" w:themeColor="accent1" w:themeShade="7F"/>
      <w:sz w:val="20"/>
    </w:rPr>
  </w:style>
  <w:style w:type="table" w:styleId="TableGrid">
    <w:name w:val="Table Grid"/>
    <w:basedOn w:val="TableNormal"/>
    <w:rsid w:val="007859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5968"/>
    <w:pPr>
      <w:spacing w:before="40" w:after="40" w:line="240" w:lineRule="auto"/>
      <w:ind w:left="720"/>
      <w:contextualSpacing/>
    </w:pPr>
    <w:rPr>
      <w:color w:val="auto"/>
      <w:sz w:val="22"/>
    </w:rPr>
  </w:style>
  <w:style w:type="character" w:customStyle="1" w:styleId="ListParagraphChar">
    <w:name w:val="List Paragraph Char"/>
    <w:basedOn w:val="DefaultParagraphFont"/>
    <w:link w:val="ListParagraph"/>
    <w:uiPriority w:val="34"/>
    <w:locked/>
    <w:rsid w:val="0078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600950\Downloads\Document-Corporate_PRIMARY.dotx" TargetMode="External"/></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C472-6E98-44B7-9E62-941174E7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Document-Corporate_PRIMARY</Template>
  <TotalTime>1</TotalTime>
  <Pages>3</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Jenny.Millea</dc:creator>
  <cp:lastModifiedBy>Prishika.Jinna</cp:lastModifiedBy>
  <cp:revision>2</cp:revision>
  <dcterms:created xsi:type="dcterms:W3CDTF">2019-09-20T05:27:00Z</dcterms:created>
  <dcterms:modified xsi:type="dcterms:W3CDTF">2019-09-20T05:27:00Z</dcterms:modified>
</cp:coreProperties>
</file>