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6931" w14:textId="46A8DF93" w:rsidR="008F058C" w:rsidRDefault="008F058C" w:rsidP="00D2695A">
      <w:pPr>
        <w:spacing w:line="360" w:lineRule="auto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Zoë Johnston u3204494</w:t>
      </w:r>
    </w:p>
    <w:p w14:paraId="1D2972AD" w14:textId="7DF7E300" w:rsidR="008F058C" w:rsidRDefault="008F058C" w:rsidP="008F058C">
      <w:pPr>
        <w:spacing w:line="360" w:lineRule="auto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Redefining</w:t>
      </w:r>
      <w:r w:rsidR="00D5396B" w:rsidRPr="00F2314D">
        <w:rPr>
          <w:b/>
          <w:bCs/>
          <w:color w:val="000000" w:themeColor="text1"/>
          <w:sz w:val="22"/>
          <w:szCs w:val="22"/>
        </w:rPr>
        <w:t xml:space="preserve"> obstetric involvement in </w:t>
      </w:r>
      <w:r>
        <w:rPr>
          <w:b/>
          <w:bCs/>
          <w:color w:val="000000" w:themeColor="text1"/>
          <w:sz w:val="22"/>
          <w:szCs w:val="22"/>
        </w:rPr>
        <w:t xml:space="preserve">the </w:t>
      </w:r>
      <w:r w:rsidR="00D5396B" w:rsidRPr="00F2314D">
        <w:rPr>
          <w:b/>
          <w:bCs/>
          <w:color w:val="000000" w:themeColor="text1"/>
          <w:sz w:val="22"/>
          <w:szCs w:val="22"/>
        </w:rPr>
        <w:t>care for women with gestational diabetes</w:t>
      </w:r>
    </w:p>
    <w:p w14:paraId="39C76560" w14:textId="56DC74E1" w:rsidR="008F058C" w:rsidRPr="008F058C" w:rsidRDefault="00E942AD" w:rsidP="008F058C">
      <w:pPr>
        <w:spacing w:line="360" w:lineRule="auto"/>
        <w:ind w:firstLine="720"/>
        <w:rPr>
          <w:sz w:val="22"/>
          <w:szCs w:val="22"/>
        </w:rPr>
      </w:pPr>
      <w:r w:rsidRPr="008F058C">
        <w:rPr>
          <w:sz w:val="22"/>
          <w:szCs w:val="22"/>
        </w:rPr>
        <w:t xml:space="preserve">In Australia, women with gestational diabetes </w:t>
      </w:r>
      <w:r w:rsidR="00250135" w:rsidRPr="008F058C">
        <w:rPr>
          <w:sz w:val="22"/>
          <w:szCs w:val="22"/>
        </w:rPr>
        <w:t xml:space="preserve">are more likely to </w:t>
      </w:r>
      <w:r w:rsidR="008F058C" w:rsidRPr="008F058C">
        <w:rPr>
          <w:sz w:val="22"/>
          <w:szCs w:val="22"/>
        </w:rPr>
        <w:t xml:space="preserve">not only </w:t>
      </w:r>
      <w:r w:rsidRPr="008F058C">
        <w:rPr>
          <w:sz w:val="22"/>
          <w:szCs w:val="22"/>
        </w:rPr>
        <w:t>have an induction of labour</w:t>
      </w:r>
      <w:r w:rsidR="008F058C" w:rsidRPr="008F058C">
        <w:rPr>
          <w:sz w:val="22"/>
          <w:szCs w:val="22"/>
        </w:rPr>
        <w:t>, but also one that ‘fails’, leading to intervention and caesarean section. A primary caesarean section often leads to a repeat, falsely inflating rates</w:t>
      </w:r>
      <w:r w:rsidRPr="008F058C">
        <w:rPr>
          <w:sz w:val="22"/>
          <w:szCs w:val="22"/>
        </w:rPr>
        <w:t xml:space="preserve">. </w:t>
      </w:r>
      <w:r w:rsidR="008F058C" w:rsidRPr="008F058C">
        <w:rPr>
          <w:sz w:val="22"/>
          <w:szCs w:val="22"/>
        </w:rPr>
        <w:t xml:space="preserve">A common reason for recommending an induction is the presumptive increased risk of macrosomia, shoulder dystocia, and birth trauma, although if gestational diabetes is well-controlled, that risk is decreased. </w:t>
      </w:r>
      <w:r w:rsidR="004735B3" w:rsidRPr="008F058C">
        <w:rPr>
          <w:sz w:val="22"/>
          <w:szCs w:val="22"/>
        </w:rPr>
        <w:t>C</w:t>
      </w:r>
      <w:r w:rsidRPr="008F058C">
        <w:rPr>
          <w:sz w:val="22"/>
          <w:szCs w:val="22"/>
        </w:rPr>
        <w:t>urrently there is insufficient quality evidence to support induction of labour for women with gestational diabetes</w:t>
      </w:r>
      <w:r w:rsidR="004735B3" w:rsidRPr="008F058C">
        <w:rPr>
          <w:sz w:val="22"/>
          <w:szCs w:val="22"/>
        </w:rPr>
        <w:t>,</w:t>
      </w:r>
      <w:r w:rsidRPr="008F058C">
        <w:rPr>
          <w:sz w:val="22"/>
          <w:szCs w:val="22"/>
        </w:rPr>
        <w:t xml:space="preserve"> who have no additional risk factors</w:t>
      </w:r>
      <w:r w:rsidR="008F058C" w:rsidRPr="008F058C">
        <w:rPr>
          <w:sz w:val="22"/>
          <w:szCs w:val="22"/>
        </w:rPr>
        <w:t>, despite its prevalence</w:t>
      </w:r>
      <w:r w:rsidRPr="008F058C">
        <w:rPr>
          <w:sz w:val="22"/>
          <w:szCs w:val="22"/>
        </w:rPr>
        <w:t xml:space="preserve">. </w:t>
      </w:r>
      <w:r w:rsidR="008F058C" w:rsidRPr="008F058C">
        <w:rPr>
          <w:sz w:val="22"/>
          <w:szCs w:val="22"/>
        </w:rPr>
        <w:t>T</w:t>
      </w:r>
      <w:r w:rsidRPr="008F058C">
        <w:rPr>
          <w:sz w:val="22"/>
          <w:szCs w:val="22"/>
        </w:rPr>
        <w:t>he aim of this policy is to minimise the incidence of unnecessary induction</w:t>
      </w:r>
      <w:r w:rsidR="008F058C" w:rsidRPr="008F058C">
        <w:rPr>
          <w:sz w:val="22"/>
          <w:szCs w:val="22"/>
        </w:rPr>
        <w:t>s</w:t>
      </w:r>
      <w:r w:rsidRPr="008F058C">
        <w:rPr>
          <w:sz w:val="22"/>
          <w:szCs w:val="22"/>
        </w:rPr>
        <w:t xml:space="preserve"> of labour for women with </w:t>
      </w:r>
      <w:r w:rsidR="004E12B5" w:rsidRPr="008F058C">
        <w:rPr>
          <w:sz w:val="22"/>
          <w:szCs w:val="22"/>
        </w:rPr>
        <w:t>well</w:t>
      </w:r>
      <w:r w:rsidRPr="008F058C">
        <w:rPr>
          <w:sz w:val="22"/>
          <w:szCs w:val="22"/>
        </w:rPr>
        <w:t xml:space="preserve">-controlled gestational diabetes </w:t>
      </w:r>
      <w:r w:rsidR="004E12B5" w:rsidRPr="008F058C">
        <w:rPr>
          <w:sz w:val="22"/>
          <w:szCs w:val="22"/>
        </w:rPr>
        <w:t>with</w:t>
      </w:r>
      <w:r w:rsidRPr="008F058C">
        <w:rPr>
          <w:sz w:val="22"/>
          <w:szCs w:val="22"/>
        </w:rPr>
        <w:t xml:space="preserve"> no additional risk factors.</w:t>
      </w:r>
      <w:r w:rsidR="002914A2" w:rsidRPr="008F058C">
        <w:rPr>
          <w:sz w:val="22"/>
          <w:szCs w:val="22"/>
        </w:rPr>
        <w:t xml:space="preserve"> </w:t>
      </w:r>
    </w:p>
    <w:p w14:paraId="24A37FD4" w14:textId="7DC1F3F0" w:rsidR="00B25756" w:rsidRPr="008F058C" w:rsidRDefault="008F058C" w:rsidP="008F058C">
      <w:pPr>
        <w:spacing w:line="360" w:lineRule="auto"/>
        <w:ind w:firstLine="720"/>
        <w:rPr>
          <w:sz w:val="22"/>
          <w:szCs w:val="22"/>
        </w:rPr>
      </w:pPr>
      <w:r w:rsidRPr="008F058C">
        <w:rPr>
          <w:sz w:val="22"/>
          <w:szCs w:val="22"/>
        </w:rPr>
        <w:t>This policy changes the way care is currently delivered. This will be trialled primarily at a single hospital involving all women. Care will be primarily midwifery-led, using a collaborative process. Recommendations regarding healthy diet, exercise, and regular blood glucose monitoring will be promoted and encouraged. O</w:t>
      </w:r>
      <w:r w:rsidR="00174909" w:rsidRPr="008F058C">
        <w:rPr>
          <w:sz w:val="22"/>
          <w:szCs w:val="22"/>
        </w:rPr>
        <w:t xml:space="preserve">bstetric involvement </w:t>
      </w:r>
      <w:r w:rsidR="006A4ED5" w:rsidRPr="008F058C">
        <w:rPr>
          <w:sz w:val="22"/>
          <w:szCs w:val="22"/>
        </w:rPr>
        <w:t xml:space="preserve">will </w:t>
      </w:r>
      <w:r w:rsidRPr="008F058C">
        <w:rPr>
          <w:sz w:val="22"/>
          <w:szCs w:val="22"/>
        </w:rPr>
        <w:t xml:space="preserve">only occur if clinically </w:t>
      </w:r>
      <w:r w:rsidR="00174909" w:rsidRPr="008F058C">
        <w:rPr>
          <w:sz w:val="22"/>
          <w:szCs w:val="22"/>
        </w:rPr>
        <w:t>indicated</w:t>
      </w:r>
      <w:r w:rsidRPr="008F058C">
        <w:rPr>
          <w:sz w:val="22"/>
          <w:szCs w:val="22"/>
        </w:rPr>
        <w:t xml:space="preserve"> and using a clear set of developed guidelines</w:t>
      </w:r>
      <w:r w:rsidR="009E5F64" w:rsidRPr="008F058C">
        <w:rPr>
          <w:sz w:val="22"/>
          <w:szCs w:val="22"/>
        </w:rPr>
        <w:t xml:space="preserve">. </w:t>
      </w:r>
      <w:r w:rsidRPr="008F058C">
        <w:rPr>
          <w:sz w:val="22"/>
          <w:szCs w:val="22"/>
        </w:rPr>
        <w:t>A</w:t>
      </w:r>
      <w:r w:rsidR="00174909" w:rsidRPr="008F058C">
        <w:rPr>
          <w:sz w:val="22"/>
          <w:szCs w:val="22"/>
        </w:rPr>
        <w:t xml:space="preserve"> discussion </w:t>
      </w:r>
      <w:r w:rsidR="006A28E1" w:rsidRPr="008F058C">
        <w:rPr>
          <w:sz w:val="22"/>
          <w:szCs w:val="22"/>
        </w:rPr>
        <w:t>of</w:t>
      </w:r>
      <w:r w:rsidR="00174909" w:rsidRPr="008F058C">
        <w:rPr>
          <w:sz w:val="22"/>
          <w:szCs w:val="22"/>
        </w:rPr>
        <w:t xml:space="preserve"> the benefits and risks associated with induction of labour </w:t>
      </w:r>
      <w:r w:rsidRPr="008F058C">
        <w:rPr>
          <w:sz w:val="22"/>
          <w:szCs w:val="22"/>
        </w:rPr>
        <w:t xml:space="preserve">will occur in consideration of </w:t>
      </w:r>
      <w:r w:rsidR="00174909" w:rsidRPr="008F058C">
        <w:rPr>
          <w:sz w:val="22"/>
          <w:szCs w:val="22"/>
        </w:rPr>
        <w:t xml:space="preserve">the woman’s individual circumstances. </w:t>
      </w:r>
      <w:r w:rsidR="0089014F" w:rsidRPr="008F058C">
        <w:rPr>
          <w:sz w:val="22"/>
          <w:szCs w:val="22"/>
        </w:rPr>
        <w:t xml:space="preserve">This </w:t>
      </w:r>
      <w:r w:rsidR="00206559" w:rsidRPr="008F058C">
        <w:rPr>
          <w:sz w:val="22"/>
          <w:szCs w:val="22"/>
        </w:rPr>
        <w:t>proposed approach</w:t>
      </w:r>
      <w:r w:rsidR="00B25756" w:rsidRPr="008F058C">
        <w:rPr>
          <w:sz w:val="22"/>
          <w:szCs w:val="22"/>
        </w:rPr>
        <w:t xml:space="preserve"> </w:t>
      </w:r>
      <w:r w:rsidR="0057192A" w:rsidRPr="008F058C">
        <w:rPr>
          <w:sz w:val="22"/>
          <w:szCs w:val="22"/>
        </w:rPr>
        <w:t>aims to</w:t>
      </w:r>
      <w:r w:rsidR="00B25756" w:rsidRPr="008F058C">
        <w:rPr>
          <w:sz w:val="22"/>
          <w:szCs w:val="22"/>
        </w:rPr>
        <w:t xml:space="preserve"> </w:t>
      </w:r>
      <w:r w:rsidRPr="008F058C">
        <w:rPr>
          <w:sz w:val="22"/>
          <w:szCs w:val="22"/>
        </w:rPr>
        <w:t>decrease health care costs, improve maternal and neonatal outcomes, and increase maternal satisfaction with care and care providers.</w:t>
      </w:r>
    </w:p>
    <w:p w14:paraId="64EF03B5" w14:textId="77777777" w:rsidR="00042B74" w:rsidRPr="00F2314D" w:rsidRDefault="00042B74" w:rsidP="00D2695A">
      <w:pPr>
        <w:spacing w:line="360" w:lineRule="auto"/>
        <w:rPr>
          <w:color w:val="000000" w:themeColor="text1"/>
          <w:sz w:val="22"/>
          <w:szCs w:val="22"/>
        </w:rPr>
      </w:pPr>
    </w:p>
    <w:p w14:paraId="616DF569" w14:textId="77777777" w:rsidR="00E30774" w:rsidRPr="00F2314D" w:rsidRDefault="00E30774" w:rsidP="00E30774">
      <w:pPr>
        <w:rPr>
          <w:color w:val="000000" w:themeColor="text1"/>
        </w:rPr>
      </w:pPr>
    </w:p>
    <w:p w14:paraId="6AA561BA" w14:textId="77777777" w:rsidR="002333AD" w:rsidRPr="00F2314D" w:rsidRDefault="002333AD" w:rsidP="007262A1">
      <w:pPr>
        <w:rPr>
          <w:color w:val="000000" w:themeColor="text1"/>
        </w:rPr>
      </w:pPr>
    </w:p>
    <w:p w14:paraId="0781531F" w14:textId="77777777" w:rsidR="00F2314D" w:rsidRPr="00F2314D" w:rsidRDefault="00F2314D" w:rsidP="00C92101">
      <w:pPr>
        <w:rPr>
          <w:b/>
          <w:bCs/>
          <w:color w:val="000000" w:themeColor="text1"/>
          <w:sz w:val="22"/>
          <w:szCs w:val="22"/>
        </w:rPr>
      </w:pPr>
    </w:p>
    <w:p w14:paraId="284F1A3B" w14:textId="3D9AE775" w:rsidR="00F2314D" w:rsidRPr="00F2314D" w:rsidRDefault="00F2314D">
      <w:pPr>
        <w:rPr>
          <w:b/>
          <w:bCs/>
          <w:color w:val="000000" w:themeColor="text1"/>
          <w:sz w:val="22"/>
          <w:szCs w:val="22"/>
        </w:rPr>
      </w:pPr>
      <w:r w:rsidRPr="00F2314D">
        <w:rPr>
          <w:b/>
          <w:bCs/>
          <w:color w:val="000000" w:themeColor="text1"/>
          <w:sz w:val="22"/>
          <w:szCs w:val="22"/>
        </w:rPr>
        <w:br w:type="page"/>
      </w:r>
    </w:p>
    <w:p w14:paraId="6815376B" w14:textId="6E52DE28" w:rsidR="008F058C" w:rsidRPr="008F058C" w:rsidRDefault="008F058C" w:rsidP="006E3B1A">
      <w:pPr>
        <w:ind w:left="357" w:hanging="357"/>
        <w:contextualSpacing/>
        <w:rPr>
          <w:rFonts w:cstheme="minorHAnsi"/>
          <w:b/>
          <w:bCs/>
          <w:color w:val="000000" w:themeColor="text1"/>
          <w:sz w:val="22"/>
          <w:szCs w:val="22"/>
        </w:rPr>
      </w:pPr>
      <w:r w:rsidRPr="008F058C">
        <w:rPr>
          <w:rFonts w:cstheme="minorHAnsi"/>
          <w:b/>
          <w:bCs/>
          <w:color w:val="000000" w:themeColor="text1"/>
          <w:sz w:val="22"/>
          <w:szCs w:val="22"/>
        </w:rPr>
        <w:lastRenderedPageBreak/>
        <w:t>References</w:t>
      </w:r>
      <w:r w:rsidR="006E3B1A">
        <w:rPr>
          <w:rFonts w:cstheme="minorHAnsi"/>
          <w:b/>
          <w:bCs/>
          <w:color w:val="000000" w:themeColor="text1"/>
          <w:sz w:val="22"/>
          <w:szCs w:val="22"/>
        </w:rPr>
        <w:t>:</w:t>
      </w:r>
    </w:p>
    <w:p w14:paraId="3ABC282A" w14:textId="77777777" w:rsidR="008F058C" w:rsidRDefault="008F058C" w:rsidP="006E3B1A">
      <w:pPr>
        <w:pStyle w:val="NormalWeb"/>
        <w:spacing w:before="0" w:beforeAutospacing="0" w:after="0" w:afterAutospacing="0"/>
        <w:ind w:left="357" w:hanging="357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Alberico, S., Erenbourg, A., Hod, M., Yogev, Y., Hadar, E., Neri, F., Ronfani, L., &amp; Maso, G. (2016). Immediate delivery or expectant management in gestational diabetes at term: The Ginexmal Randomised Controlled Trial. </w:t>
      </w:r>
      <w:r w:rsidRPr="008F058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BJOG: An International Journal of Obstetrics &amp; Gynaecology</w:t>
      </w: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F058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124</w:t>
      </w: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(4), 669–677. </w:t>
      </w:r>
      <w:hyperlink r:id="rId7" w:history="1">
        <w:r w:rsidRPr="006E3B1A">
          <w:rPr>
            <w:rStyle w:val="Hyperlink"/>
            <w:rFonts w:asciiTheme="minorHAnsi" w:hAnsiTheme="minorHAnsi" w:cstheme="minorHAnsi"/>
            <w:color w:val="0000FF"/>
            <w:sz w:val="22"/>
            <w:szCs w:val="22"/>
          </w:rPr>
          <w:t>https://doi.org/10.1111/1471-0528.14389</w:t>
        </w:r>
      </w:hyperlink>
      <w:r w:rsidRPr="006E3B1A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2BE80499" w14:textId="2B536E53" w:rsidR="008F058C" w:rsidRPr="008F058C" w:rsidRDefault="008F058C" w:rsidP="006E3B1A">
      <w:pPr>
        <w:pStyle w:val="NormalWeb"/>
        <w:spacing w:before="0" w:beforeAutospacing="0" w:after="0" w:afterAutospacing="0"/>
        <w:ind w:left="357" w:hanging="357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Australian Institute of Health and Welfare. (2019). Incidence of gestational diabetes in Australia. Australian Institute of Health and Welfare. </w:t>
      </w:r>
      <w:hyperlink r:id="rId8" w:history="1">
        <w:r w:rsidRPr="006E3B1A">
          <w:rPr>
            <w:rStyle w:val="Hyperlink"/>
            <w:rFonts w:asciiTheme="minorHAnsi" w:hAnsiTheme="minorHAnsi" w:cstheme="minorHAnsi"/>
            <w:color w:val="0000FF"/>
            <w:sz w:val="22"/>
            <w:szCs w:val="22"/>
          </w:rPr>
          <w:t>https://www.aihw.gov.au/reports/diabetes/incidence-of-gestational-diabetes-in-australia/contents/outcomes</w:t>
        </w:r>
      </w:hyperlink>
      <w:r w:rsidRPr="006E3B1A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7F052AEF" w14:textId="77777777" w:rsidR="008F058C" w:rsidRPr="008F058C" w:rsidRDefault="008F058C" w:rsidP="006E3B1A">
      <w:pPr>
        <w:pStyle w:val="NormalWeb"/>
        <w:spacing w:before="0" w:beforeAutospacing="0" w:after="0" w:afterAutospacing="0"/>
        <w:ind w:left="357" w:hanging="357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Bas-lando, M., Srebnik, N., Farkash, R., Ioscovich, A., Samueloff, A., &amp; Grisaru-Granovsky, S. (2014). Elective induction of labor in women with gestational diabetes mellitus: An intervention that modifies the risk of cesarean section. </w:t>
      </w:r>
      <w:r w:rsidRPr="008F058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Archives of Gynecology and Obstetrics</w:t>
      </w: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F058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290</w:t>
      </w: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(5), 905–912. </w:t>
      </w:r>
      <w:hyperlink r:id="rId9" w:history="1">
        <w:r w:rsidRPr="006E3B1A">
          <w:rPr>
            <w:rStyle w:val="Hyperlink"/>
            <w:rFonts w:asciiTheme="minorHAnsi" w:hAnsiTheme="minorHAnsi" w:cstheme="minorHAnsi"/>
            <w:color w:val="0000FF"/>
            <w:sz w:val="22"/>
            <w:szCs w:val="22"/>
          </w:rPr>
          <w:t>https://doi.org/10.1007/s00404-014-3313-6</w:t>
        </w:r>
      </w:hyperlink>
      <w:r w:rsidRPr="006E3B1A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044D0C5D" w14:textId="77777777" w:rsidR="008F058C" w:rsidRPr="006E3B1A" w:rsidRDefault="008F058C" w:rsidP="006E3B1A">
      <w:pPr>
        <w:pStyle w:val="NormalWeb"/>
        <w:spacing w:before="0" w:beforeAutospacing="0" w:after="0" w:afterAutospacing="0"/>
        <w:ind w:left="357" w:hanging="357"/>
        <w:contextualSpacing/>
        <w:rPr>
          <w:rFonts w:asciiTheme="minorHAnsi" w:hAnsiTheme="minorHAnsi" w:cstheme="minorHAnsi"/>
          <w:color w:val="0000FF"/>
          <w:sz w:val="22"/>
          <w:szCs w:val="22"/>
        </w:rPr>
      </w:pP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Dekker, R. (2019, April 3). </w:t>
      </w:r>
      <w:r w:rsidRPr="008F058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Evidence on: Induction for Gestational Diabetes</w:t>
      </w: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Evidence Based Birth®. Retrieved March 31, 2023, from </w:t>
      </w:r>
      <w:hyperlink r:id="rId10" w:history="1">
        <w:r w:rsidRPr="006E3B1A">
          <w:rPr>
            <w:rStyle w:val="Hyperlink"/>
            <w:rFonts w:asciiTheme="minorHAnsi" w:hAnsiTheme="minorHAnsi" w:cstheme="minorHAnsi"/>
            <w:color w:val="0000FF"/>
            <w:sz w:val="22"/>
            <w:szCs w:val="22"/>
          </w:rPr>
          <w:t>https://evidencebasedbirth.com/evidence-on-induction-for-gestational-diabetes/</w:t>
        </w:r>
      </w:hyperlink>
      <w:r w:rsidRPr="006E3B1A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1ADFF0E1" w14:textId="77777777" w:rsidR="008F058C" w:rsidRPr="008F058C" w:rsidRDefault="008F058C" w:rsidP="006E3B1A">
      <w:pPr>
        <w:pStyle w:val="NormalWeb"/>
        <w:spacing w:before="0" w:beforeAutospacing="0" w:after="0" w:afterAutospacing="0"/>
        <w:ind w:left="357" w:hanging="357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Feghali, M. N., Caritis, S. N., Catov, J. M., &amp; Scifres, C. M. (2016). Timing of delivery and pregnancy outcomes in women with gestational diabetes. </w:t>
      </w:r>
      <w:r w:rsidRPr="008F058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American Journal of Obstetrics and Gynecology</w:t>
      </w: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F058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215</w:t>
      </w: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(2), 243.e1–243.e7. </w:t>
      </w:r>
      <w:hyperlink r:id="rId11" w:history="1">
        <w:r w:rsidRPr="006E3B1A">
          <w:rPr>
            <w:rStyle w:val="Hyperlink"/>
            <w:rFonts w:asciiTheme="minorHAnsi" w:hAnsiTheme="minorHAnsi" w:cstheme="minorHAnsi"/>
            <w:color w:val="0000FF"/>
            <w:sz w:val="22"/>
            <w:szCs w:val="22"/>
          </w:rPr>
          <w:t>https://doi.org/10.1016/j.ajog.2016.03.006</w:t>
        </w:r>
      </w:hyperlink>
      <w:r w:rsidRPr="006E3B1A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1C2897D8" w14:textId="77777777" w:rsidR="008F058C" w:rsidRPr="008F058C" w:rsidRDefault="008F058C" w:rsidP="006E3B1A">
      <w:pPr>
        <w:pStyle w:val="NormalWeb"/>
        <w:spacing w:before="0" w:beforeAutospacing="0" w:after="0" w:afterAutospacing="0"/>
        <w:ind w:left="357" w:hanging="357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Grabowska, K., Stapińska-Syniec, A., Saletra, A., Jarmużek, P., &amp; Bomba-Opoń, D. (2017). Labour in women with gestational diabetes mellitus. </w:t>
      </w:r>
      <w:r w:rsidRPr="008F058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Ginekologia Polska</w:t>
      </w: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F058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88</w:t>
      </w: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(2), 81–86. </w:t>
      </w:r>
      <w:hyperlink r:id="rId12" w:history="1">
        <w:r w:rsidRPr="006E3B1A">
          <w:rPr>
            <w:rStyle w:val="Hyperlink"/>
            <w:rFonts w:asciiTheme="minorHAnsi" w:hAnsiTheme="minorHAnsi" w:cstheme="minorHAnsi"/>
            <w:color w:val="0000FF"/>
            <w:sz w:val="22"/>
            <w:szCs w:val="22"/>
          </w:rPr>
          <w:t>https://doi.org/10.5603/gp.a2017.0016</w:t>
        </w:r>
      </w:hyperlink>
      <w:r w:rsidRPr="006E3B1A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2C391236" w14:textId="77777777" w:rsidR="008F058C" w:rsidRDefault="008F058C" w:rsidP="006E3B1A">
      <w:pPr>
        <w:pStyle w:val="NormalWeb"/>
        <w:spacing w:before="0" w:beforeAutospacing="0" w:after="0" w:afterAutospacing="0"/>
        <w:ind w:left="357" w:hanging="357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Melamed, N., Ray, J. G., Geary, M., Bedard, D., Yang, C., Sprague, A., Murray-Davis, B., Barrett, J., &amp; Berger, H. (2016). Induction of labor before 40 weeks is associated with lower rate of cesarean delivery in women with gestational diabetes mellitus. </w:t>
      </w:r>
      <w:r w:rsidRPr="008F058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American Journal of Obstetrics and Gynecology</w:t>
      </w: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F058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214</w:t>
      </w: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(3), 364.e1–364.e8. </w:t>
      </w:r>
      <w:hyperlink r:id="rId13" w:history="1">
        <w:r w:rsidRPr="006E3B1A">
          <w:rPr>
            <w:rStyle w:val="Hyperlink"/>
            <w:rFonts w:asciiTheme="minorHAnsi" w:hAnsiTheme="minorHAnsi" w:cstheme="minorHAnsi"/>
            <w:color w:val="0000FF"/>
            <w:sz w:val="22"/>
            <w:szCs w:val="22"/>
          </w:rPr>
          <w:t>https://doi.org/10.1016/j.ajog.2015.12.021</w:t>
        </w:r>
      </w:hyperlink>
      <w:r w:rsidRPr="006E3B1A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77CCC7AD" w14:textId="77777777" w:rsidR="008F058C" w:rsidRPr="006E3B1A" w:rsidRDefault="008F058C" w:rsidP="006E3B1A">
      <w:pPr>
        <w:pStyle w:val="NormalWeb"/>
        <w:spacing w:before="0" w:beforeAutospacing="0" w:after="0" w:afterAutospacing="0"/>
        <w:ind w:left="357" w:hanging="357"/>
        <w:contextualSpacing/>
        <w:rPr>
          <w:rStyle w:val="Hyperlink"/>
          <w:rFonts w:asciiTheme="minorHAnsi" w:hAnsiTheme="minorHAnsi" w:cstheme="minorHAnsi"/>
          <w:color w:val="0000FF"/>
          <w:sz w:val="22"/>
          <w:szCs w:val="22"/>
        </w:rPr>
      </w:pP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Muglu, J., Rather, H., Arroyo-Manzano, D., Bhattacharya, S., Balchin, I., Khalil, A., Thilaganathan, B., Khan, K. S., Zamora, J., &amp;amp; Thangaratinam, S. (2019). Risks of stillbirth and neonatal death with advancing gestation at term: A systematic review and meta-analysis of cohort studies of 15 million pregnancies. </w:t>
      </w:r>
      <w:r w:rsidRPr="008F058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PLOS Medicine, 16</w:t>
      </w: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(7). </w:t>
      </w:r>
      <w:hyperlink r:id="rId14" w:history="1">
        <w:r w:rsidRPr="006E3B1A">
          <w:rPr>
            <w:rStyle w:val="Hyperlink"/>
            <w:rFonts w:asciiTheme="minorHAnsi" w:hAnsiTheme="minorHAnsi" w:cstheme="minorHAnsi"/>
            <w:color w:val="0000FF"/>
            <w:sz w:val="22"/>
            <w:szCs w:val="22"/>
          </w:rPr>
          <w:t>https://doi.org/10.1371/journal.pmed.1002838</w:t>
        </w:r>
      </w:hyperlink>
    </w:p>
    <w:p w14:paraId="74084C11" w14:textId="4836C267" w:rsidR="008F058C" w:rsidRPr="006E3B1A" w:rsidRDefault="008F058C" w:rsidP="006E3B1A">
      <w:pPr>
        <w:pStyle w:val="NormalWeb"/>
        <w:spacing w:before="0" w:beforeAutospacing="0" w:after="0" w:afterAutospacing="0"/>
        <w:ind w:left="357" w:hanging="357"/>
        <w:contextualSpacing/>
        <w:rPr>
          <w:rFonts w:asciiTheme="minorHAnsi" w:hAnsiTheme="minorHAnsi" w:cstheme="minorHAnsi"/>
          <w:color w:val="0000FF"/>
          <w:sz w:val="22"/>
          <w:szCs w:val="22"/>
        </w:rPr>
      </w:pP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Nankervis, A., McIntyre, H. D., Moses, R., Ross, G. P., Callaway, L., Porter, C., Jeffries, W., Boorman, C., De Vries, B., &amp;amp; McElduff, A. (2014). ADIPS consensus guidelines for the testing and diagnosis of ... Australasian Diabetes in Pregnancy Society. </w:t>
      </w:r>
      <w:hyperlink r:id="rId15" w:history="1">
        <w:r w:rsidRPr="006E3B1A">
          <w:rPr>
            <w:rStyle w:val="Hyperlink"/>
            <w:rFonts w:asciiTheme="minorHAnsi" w:hAnsiTheme="minorHAnsi" w:cstheme="minorHAnsi"/>
            <w:color w:val="0000FF"/>
            <w:sz w:val="22"/>
            <w:szCs w:val="22"/>
          </w:rPr>
          <w:t>http://www.adips.org/downloads/2014ADIPSGDMGuidelinesV18.11.2014_000.pdf</w:t>
        </w:r>
      </w:hyperlink>
      <w:r w:rsidRPr="006E3B1A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7D5B2800" w14:textId="77777777" w:rsidR="008F058C" w:rsidRPr="008F058C" w:rsidRDefault="008F058C" w:rsidP="006E3B1A">
      <w:pPr>
        <w:pStyle w:val="NormalWeb"/>
        <w:spacing w:before="0" w:beforeAutospacing="0" w:after="0" w:afterAutospacing="0"/>
        <w:ind w:left="357" w:hanging="357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Niu, B., Lee, V. R., Cheng, Y. W., Frias, A. E., Nicholson, J. M., &amp; Caughey, A. B. (2014). What is the optimal gestational age for women with gestational diabetes type A1 to deliver? </w:t>
      </w:r>
      <w:r w:rsidRPr="008F058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American Journal of Obstetrics and Gynecology</w:t>
      </w: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F058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211</w:t>
      </w: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(4), 418.e1–418.e6. </w:t>
      </w:r>
      <w:hyperlink r:id="rId16" w:history="1">
        <w:r w:rsidRPr="006E3B1A">
          <w:rPr>
            <w:rStyle w:val="Hyperlink"/>
            <w:rFonts w:asciiTheme="minorHAnsi" w:hAnsiTheme="minorHAnsi" w:cstheme="minorHAnsi"/>
            <w:color w:val="0000FF"/>
            <w:sz w:val="22"/>
            <w:szCs w:val="22"/>
          </w:rPr>
          <w:t>https://doi.org/10.1016/j.ajog.2014.06.015</w:t>
        </w:r>
      </w:hyperlink>
      <w:r w:rsidRPr="006E3B1A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2D1A83B5" w14:textId="77777777" w:rsidR="008F058C" w:rsidRPr="008F058C" w:rsidRDefault="008F058C" w:rsidP="006E3B1A">
      <w:pPr>
        <w:pStyle w:val="NormalWeb"/>
        <w:spacing w:before="0" w:beforeAutospacing="0" w:after="0" w:afterAutospacing="0"/>
        <w:ind w:left="357" w:hanging="357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Seimon, R. V., Natasha, N., Schneuer, F. J., Pereira, G., Mackie, A., Ross, G. P., Sweeting, A. N., Seeho, S. K., &amp; Hocking, S. L. (2022). Maternal and neonatal outcomes of women with gestational diabetes and without specific medical conditions: An Australian population‐based study comparing induction of labor with Expectant Management. </w:t>
      </w:r>
      <w:r w:rsidRPr="008F058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Australian and New Zealand Journal of Obstetrics and Gynaecology</w:t>
      </w: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F058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62</w:t>
      </w: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(4), 525–535. </w:t>
      </w:r>
      <w:hyperlink r:id="rId17" w:history="1">
        <w:r w:rsidRPr="006E3B1A">
          <w:rPr>
            <w:rStyle w:val="Hyperlink"/>
            <w:rFonts w:asciiTheme="minorHAnsi" w:hAnsiTheme="minorHAnsi" w:cstheme="minorHAnsi"/>
            <w:color w:val="0000FF"/>
            <w:sz w:val="22"/>
            <w:szCs w:val="22"/>
          </w:rPr>
          <w:t>https://doi.org/10.1111/ajo.13505</w:t>
        </w:r>
      </w:hyperlink>
      <w:r w:rsidRPr="006E3B1A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6D3B8C65" w14:textId="77777777" w:rsidR="008F058C" w:rsidRPr="008F058C" w:rsidRDefault="008F058C" w:rsidP="006E3B1A">
      <w:pPr>
        <w:pStyle w:val="NormalWeb"/>
        <w:spacing w:before="0" w:beforeAutospacing="0" w:after="0" w:afterAutospacing="0"/>
        <w:ind w:left="357" w:hanging="357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Šimják, P., Krejčí, H., Hornová, M., Mráz, M., Pařízek, A., Kršek, M., Haluzík, M., &amp; Anderlová, K. (2022). Establishing the optimal time for induction of Labor in women with diet-controlled gestational diabetes mellitus: A single-center observational study. </w:t>
      </w:r>
      <w:r w:rsidRPr="008F058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Journal of Clinical Medicine</w:t>
      </w: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F058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11</w:t>
      </w: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(21), 6410. </w:t>
      </w:r>
      <w:hyperlink r:id="rId18" w:history="1">
        <w:r w:rsidRPr="006E3B1A">
          <w:rPr>
            <w:rStyle w:val="Hyperlink"/>
            <w:rFonts w:asciiTheme="minorHAnsi" w:hAnsiTheme="minorHAnsi" w:cstheme="minorHAnsi"/>
            <w:color w:val="0000FF"/>
            <w:sz w:val="22"/>
            <w:szCs w:val="22"/>
          </w:rPr>
          <w:t>https://doi.org/10.3390/jcm11216410</w:t>
        </w:r>
      </w:hyperlink>
      <w:r w:rsidRPr="006E3B1A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2085F023" w14:textId="6F3DC4F9" w:rsidR="008F058C" w:rsidRPr="008F058C" w:rsidRDefault="008F058C" w:rsidP="006E3B1A">
      <w:pPr>
        <w:pStyle w:val="NormalWeb"/>
        <w:spacing w:before="0" w:beforeAutospacing="0" w:after="0" w:afterAutospacing="0"/>
        <w:ind w:left="357" w:hanging="357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Sutton, A. L., Mele, L., Landon, M. B., Ramin, S. M., Varner, M. W., Thorp, J. M., Sciscione, A., Catalano, P., Harper, M., Saade, G., Caritis, S. N., Sorokin, Y., &amp; Grobman, W. A. (2014). Delivery timing and cesarean delivery risk in women with mild gestational diabetes mellitus. </w:t>
      </w:r>
      <w:r w:rsidRPr="008F058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American </w:t>
      </w:r>
      <w:r w:rsidRPr="008F058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lastRenderedPageBreak/>
        <w:t>Journal of Obstetrics and Gynecology</w:t>
      </w: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F058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211</w:t>
      </w: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>(3), 244.e1–244.e7.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19" w:history="1">
        <w:r w:rsidRPr="006E3B1A">
          <w:rPr>
            <w:rStyle w:val="Hyperlink"/>
            <w:rFonts w:asciiTheme="minorHAnsi" w:hAnsiTheme="minorHAnsi" w:cstheme="minorHAnsi"/>
            <w:color w:val="0000FF"/>
            <w:sz w:val="22"/>
            <w:szCs w:val="22"/>
          </w:rPr>
          <w:t>https://doi.org/10.1016/j.ajog.2014.03.005</w:t>
        </w:r>
      </w:hyperlink>
      <w:r w:rsidRPr="006E3B1A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4D5A227D" w14:textId="77777777" w:rsidR="008F058C" w:rsidRPr="008F058C" w:rsidRDefault="008F058C" w:rsidP="006E3B1A">
      <w:pPr>
        <w:pStyle w:val="NormalWeb"/>
        <w:spacing w:before="0" w:beforeAutospacing="0" w:after="0" w:afterAutospacing="0"/>
        <w:ind w:left="357" w:hanging="357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Vitner, D., Hiersch, L., Ashwal, E., Shmueli, A., Yogev, Y., &amp; Aviram, A. (2019). Induction of labor versus expectant management for gestational diabetes mellitus at term. </w:t>
      </w:r>
      <w:r w:rsidRPr="008F058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Archives of Gynecology and Obstetrics</w:t>
      </w: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F058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300</w:t>
      </w:r>
      <w:r w:rsidRPr="008F05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(1), 79–86. </w:t>
      </w:r>
      <w:hyperlink r:id="rId20" w:history="1">
        <w:r w:rsidRPr="006E3B1A">
          <w:rPr>
            <w:rStyle w:val="Hyperlink"/>
            <w:rFonts w:asciiTheme="minorHAnsi" w:hAnsiTheme="minorHAnsi" w:cstheme="minorHAnsi"/>
            <w:color w:val="0000FF"/>
            <w:sz w:val="22"/>
            <w:szCs w:val="22"/>
          </w:rPr>
          <w:t>https://doi.org/10.1007/s00404-019-05171-3</w:t>
        </w:r>
      </w:hyperlink>
      <w:r w:rsidRPr="006E3B1A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56E202ED" w14:textId="25F3DCF9" w:rsidR="00C92101" w:rsidRPr="008F058C" w:rsidRDefault="00C92101" w:rsidP="008F058C">
      <w:pPr>
        <w:contextualSpacing/>
        <w:jc w:val="center"/>
        <w:rPr>
          <w:rFonts w:cstheme="minorHAnsi"/>
          <w:color w:val="000000" w:themeColor="text1"/>
          <w:sz w:val="22"/>
          <w:szCs w:val="22"/>
        </w:rPr>
      </w:pPr>
    </w:p>
    <w:sectPr w:rsidR="00C92101" w:rsidRPr="008F058C" w:rsidSect="00015775">
      <w:footerReference w:type="even" r:id="rId21"/>
      <w:footerReference w:type="default" r:id="rId22"/>
      <w:pgSz w:w="11900" w:h="16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D6A6" w14:textId="77777777" w:rsidR="00C8355F" w:rsidRDefault="00C8355F" w:rsidP="00C8355F">
      <w:r>
        <w:separator/>
      </w:r>
    </w:p>
  </w:endnote>
  <w:endnote w:type="continuationSeparator" w:id="0">
    <w:p w14:paraId="203CEB2F" w14:textId="77777777" w:rsidR="00C8355F" w:rsidRDefault="00C8355F" w:rsidP="00C8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404687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2286C9" w14:textId="206759AD" w:rsidR="00C8355F" w:rsidRDefault="00C8355F" w:rsidP="007064D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F058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6A0F6A2" w14:textId="77777777" w:rsidR="00C8355F" w:rsidRDefault="00C8355F" w:rsidP="00C835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4836" w14:textId="77777777" w:rsidR="00C8355F" w:rsidRDefault="00C8355F" w:rsidP="00C835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1B22" w14:textId="77777777" w:rsidR="00C8355F" w:rsidRDefault="00C8355F" w:rsidP="00C8355F">
      <w:r>
        <w:separator/>
      </w:r>
    </w:p>
  </w:footnote>
  <w:footnote w:type="continuationSeparator" w:id="0">
    <w:p w14:paraId="35A61C23" w14:textId="77777777" w:rsidR="00C8355F" w:rsidRDefault="00C8355F" w:rsidP="00C8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47AC"/>
    <w:multiLevelType w:val="multilevel"/>
    <w:tmpl w:val="9EFC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F6134"/>
    <w:multiLevelType w:val="multilevel"/>
    <w:tmpl w:val="C61C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511E7"/>
    <w:multiLevelType w:val="hybridMultilevel"/>
    <w:tmpl w:val="08CE0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00805"/>
    <w:multiLevelType w:val="hybridMultilevel"/>
    <w:tmpl w:val="81147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60B7D"/>
    <w:multiLevelType w:val="hybridMultilevel"/>
    <w:tmpl w:val="F0885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0439A"/>
    <w:multiLevelType w:val="hybridMultilevel"/>
    <w:tmpl w:val="E84A0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5016E"/>
    <w:multiLevelType w:val="hybridMultilevel"/>
    <w:tmpl w:val="2F509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01164"/>
    <w:multiLevelType w:val="hybridMultilevel"/>
    <w:tmpl w:val="10A4A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D017A"/>
    <w:multiLevelType w:val="hybridMultilevel"/>
    <w:tmpl w:val="AA8C2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F7629"/>
    <w:multiLevelType w:val="hybridMultilevel"/>
    <w:tmpl w:val="C39EF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14F16"/>
    <w:multiLevelType w:val="hybridMultilevel"/>
    <w:tmpl w:val="990A9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961467">
    <w:abstractNumId w:val="1"/>
  </w:num>
  <w:num w:numId="2" w16cid:durableId="500630094">
    <w:abstractNumId w:val="0"/>
  </w:num>
  <w:num w:numId="3" w16cid:durableId="1110509412">
    <w:abstractNumId w:val="4"/>
  </w:num>
  <w:num w:numId="4" w16cid:durableId="1557816799">
    <w:abstractNumId w:val="8"/>
  </w:num>
  <w:num w:numId="5" w16cid:durableId="675886903">
    <w:abstractNumId w:val="5"/>
  </w:num>
  <w:num w:numId="6" w16cid:durableId="619339413">
    <w:abstractNumId w:val="6"/>
  </w:num>
  <w:num w:numId="7" w16cid:durableId="1482232641">
    <w:abstractNumId w:val="9"/>
  </w:num>
  <w:num w:numId="8" w16cid:durableId="896432321">
    <w:abstractNumId w:val="7"/>
  </w:num>
  <w:num w:numId="9" w16cid:durableId="1248273454">
    <w:abstractNumId w:val="3"/>
  </w:num>
  <w:num w:numId="10" w16cid:durableId="303241840">
    <w:abstractNumId w:val="10"/>
  </w:num>
  <w:num w:numId="11" w16cid:durableId="1065252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8B"/>
    <w:rsid w:val="00015775"/>
    <w:rsid w:val="00030245"/>
    <w:rsid w:val="00042B74"/>
    <w:rsid w:val="00070B98"/>
    <w:rsid w:val="00084111"/>
    <w:rsid w:val="000967BD"/>
    <w:rsid w:val="000B13B4"/>
    <w:rsid w:val="000D21ED"/>
    <w:rsid w:val="000D22DF"/>
    <w:rsid w:val="000F005E"/>
    <w:rsid w:val="0010399B"/>
    <w:rsid w:val="001056A2"/>
    <w:rsid w:val="0011462D"/>
    <w:rsid w:val="00174909"/>
    <w:rsid w:val="00193865"/>
    <w:rsid w:val="001A2F0A"/>
    <w:rsid w:val="001A3CBE"/>
    <w:rsid w:val="001C666B"/>
    <w:rsid w:val="001D668C"/>
    <w:rsid w:val="001E12FE"/>
    <w:rsid w:val="001F76EF"/>
    <w:rsid w:val="00200D89"/>
    <w:rsid w:val="00206559"/>
    <w:rsid w:val="00221D94"/>
    <w:rsid w:val="002333AD"/>
    <w:rsid w:val="0024756B"/>
    <w:rsid w:val="00250135"/>
    <w:rsid w:val="00270A7B"/>
    <w:rsid w:val="002914A2"/>
    <w:rsid w:val="002B5418"/>
    <w:rsid w:val="002C2B75"/>
    <w:rsid w:val="00301BAE"/>
    <w:rsid w:val="0030456F"/>
    <w:rsid w:val="0033613A"/>
    <w:rsid w:val="003530F1"/>
    <w:rsid w:val="00380D08"/>
    <w:rsid w:val="003A6156"/>
    <w:rsid w:val="003B7961"/>
    <w:rsid w:val="003E53AE"/>
    <w:rsid w:val="00406A05"/>
    <w:rsid w:val="0041109A"/>
    <w:rsid w:val="004258A0"/>
    <w:rsid w:val="004735B3"/>
    <w:rsid w:val="004A4FD5"/>
    <w:rsid w:val="004C44A7"/>
    <w:rsid w:val="004E12B5"/>
    <w:rsid w:val="00516E56"/>
    <w:rsid w:val="0053085C"/>
    <w:rsid w:val="00546062"/>
    <w:rsid w:val="0057192A"/>
    <w:rsid w:val="005F06C5"/>
    <w:rsid w:val="005F7CDA"/>
    <w:rsid w:val="00680CAA"/>
    <w:rsid w:val="006A28E1"/>
    <w:rsid w:val="006A4ED5"/>
    <w:rsid w:val="006B457A"/>
    <w:rsid w:val="006C6B5A"/>
    <w:rsid w:val="006E1252"/>
    <w:rsid w:val="006E3B1A"/>
    <w:rsid w:val="006F0A59"/>
    <w:rsid w:val="00704F8C"/>
    <w:rsid w:val="00714E17"/>
    <w:rsid w:val="007262A1"/>
    <w:rsid w:val="00726EB5"/>
    <w:rsid w:val="00781A9F"/>
    <w:rsid w:val="007B1446"/>
    <w:rsid w:val="00821CAE"/>
    <w:rsid w:val="00821E99"/>
    <w:rsid w:val="00834DA6"/>
    <w:rsid w:val="00867A28"/>
    <w:rsid w:val="008839CF"/>
    <w:rsid w:val="0088766C"/>
    <w:rsid w:val="0089014F"/>
    <w:rsid w:val="008C3B9D"/>
    <w:rsid w:val="008E0525"/>
    <w:rsid w:val="008E68D1"/>
    <w:rsid w:val="008F058C"/>
    <w:rsid w:val="009037AD"/>
    <w:rsid w:val="00906351"/>
    <w:rsid w:val="009801AE"/>
    <w:rsid w:val="009821D5"/>
    <w:rsid w:val="00992E56"/>
    <w:rsid w:val="009E5F64"/>
    <w:rsid w:val="00A260AE"/>
    <w:rsid w:val="00A73F94"/>
    <w:rsid w:val="00AB3634"/>
    <w:rsid w:val="00AB7C6D"/>
    <w:rsid w:val="00AC6A1A"/>
    <w:rsid w:val="00AE4CF7"/>
    <w:rsid w:val="00AF6A33"/>
    <w:rsid w:val="00B25756"/>
    <w:rsid w:val="00B42231"/>
    <w:rsid w:val="00B46A7B"/>
    <w:rsid w:val="00B91A98"/>
    <w:rsid w:val="00BB764D"/>
    <w:rsid w:val="00BD4038"/>
    <w:rsid w:val="00BD4577"/>
    <w:rsid w:val="00BE7725"/>
    <w:rsid w:val="00BF2729"/>
    <w:rsid w:val="00C10E90"/>
    <w:rsid w:val="00C5092F"/>
    <w:rsid w:val="00C8355F"/>
    <w:rsid w:val="00C92101"/>
    <w:rsid w:val="00CB3DAB"/>
    <w:rsid w:val="00CE197F"/>
    <w:rsid w:val="00CE2A65"/>
    <w:rsid w:val="00CE68C8"/>
    <w:rsid w:val="00CF48A1"/>
    <w:rsid w:val="00CF5533"/>
    <w:rsid w:val="00CF7422"/>
    <w:rsid w:val="00D20D0E"/>
    <w:rsid w:val="00D23CA7"/>
    <w:rsid w:val="00D2695A"/>
    <w:rsid w:val="00D42EF5"/>
    <w:rsid w:val="00D5396B"/>
    <w:rsid w:val="00D54CAE"/>
    <w:rsid w:val="00D9478B"/>
    <w:rsid w:val="00DA043A"/>
    <w:rsid w:val="00E215E1"/>
    <w:rsid w:val="00E30774"/>
    <w:rsid w:val="00E5256D"/>
    <w:rsid w:val="00E942AD"/>
    <w:rsid w:val="00EF52CF"/>
    <w:rsid w:val="00F052FF"/>
    <w:rsid w:val="00F2314D"/>
    <w:rsid w:val="00F23E0F"/>
    <w:rsid w:val="00F71AA2"/>
    <w:rsid w:val="00F8289F"/>
    <w:rsid w:val="00F87685"/>
    <w:rsid w:val="00FA591B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2905A"/>
  <w15:chartTrackingRefBased/>
  <w15:docId w15:val="{C9FAE0A7-AAB9-AD45-B4B5-27EEB2F5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47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7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78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7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947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D9478B"/>
    <w:rPr>
      <w:i/>
      <w:iCs/>
    </w:rPr>
  </w:style>
  <w:style w:type="character" w:styleId="Strong">
    <w:name w:val="Strong"/>
    <w:basedOn w:val="DefaultParagraphFont"/>
    <w:uiPriority w:val="22"/>
    <w:qFormat/>
    <w:rsid w:val="00D9478B"/>
    <w:rPr>
      <w:b/>
      <w:bCs/>
    </w:rPr>
  </w:style>
  <w:style w:type="character" w:customStyle="1" w:styleId="Title1">
    <w:name w:val="Title1"/>
    <w:basedOn w:val="DefaultParagraphFont"/>
    <w:rsid w:val="00D9478B"/>
  </w:style>
  <w:style w:type="character" w:customStyle="1" w:styleId="screenreader-only">
    <w:name w:val="screenreader-only"/>
    <w:basedOn w:val="DefaultParagraphFont"/>
    <w:rsid w:val="00D9478B"/>
  </w:style>
  <w:style w:type="character" w:customStyle="1" w:styleId="description">
    <w:name w:val="description"/>
    <w:basedOn w:val="DefaultParagraphFont"/>
    <w:rsid w:val="00D9478B"/>
  </w:style>
  <w:style w:type="character" w:customStyle="1" w:styleId="nobr">
    <w:name w:val="nobr"/>
    <w:basedOn w:val="DefaultParagraphFont"/>
    <w:rsid w:val="00D9478B"/>
  </w:style>
  <w:style w:type="character" w:customStyle="1" w:styleId="points">
    <w:name w:val="points"/>
    <w:basedOn w:val="DefaultParagraphFont"/>
    <w:rsid w:val="00D9478B"/>
  </w:style>
  <w:style w:type="character" w:customStyle="1" w:styleId="displaycriterionpoints">
    <w:name w:val="display_criterion_points"/>
    <w:basedOn w:val="DefaultParagraphFont"/>
    <w:rsid w:val="00D9478B"/>
  </w:style>
  <w:style w:type="character" w:customStyle="1" w:styleId="rubrictotal">
    <w:name w:val="rubric_total"/>
    <w:basedOn w:val="DefaultParagraphFont"/>
    <w:rsid w:val="00D9478B"/>
  </w:style>
  <w:style w:type="paragraph" w:styleId="ListParagraph">
    <w:name w:val="List Paragraph"/>
    <w:basedOn w:val="Normal"/>
    <w:uiPriority w:val="34"/>
    <w:qFormat/>
    <w:rsid w:val="00E525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0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4F8C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015775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015775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83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55F"/>
  </w:style>
  <w:style w:type="character" w:styleId="PageNumber">
    <w:name w:val="page number"/>
    <w:basedOn w:val="DefaultParagraphFont"/>
    <w:uiPriority w:val="99"/>
    <w:semiHidden/>
    <w:unhideWhenUsed/>
    <w:rsid w:val="00C8355F"/>
  </w:style>
  <w:style w:type="character" w:styleId="CommentReference">
    <w:name w:val="annotation reference"/>
    <w:basedOn w:val="DefaultParagraphFont"/>
    <w:uiPriority w:val="99"/>
    <w:semiHidden/>
    <w:unhideWhenUsed/>
    <w:rsid w:val="008F0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05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058C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0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60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9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97972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9111">
                  <w:marLeft w:val="0"/>
                  <w:marRight w:val="0"/>
                  <w:marTop w:val="0"/>
                  <w:marBottom w:val="0"/>
                  <w:divBdr>
                    <w:top w:val="single" w:sz="6" w:space="4" w:color="C7CDD1"/>
                    <w:left w:val="single" w:sz="6" w:space="4" w:color="C7CDD1"/>
                    <w:bottom w:val="none" w:sz="0" w:space="0" w:color="auto"/>
                    <w:right w:val="single" w:sz="6" w:space="4" w:color="C7CDD1"/>
                  </w:divBdr>
                  <w:divsChild>
                    <w:div w:id="65557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6207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0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0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7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7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2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6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7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1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4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0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4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4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3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32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3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3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43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7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1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8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4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9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0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3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7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w.gov.au/reports/diabetes/incidence-of-gestational-diabetes-in-australia/contents/outcomes" TargetMode="External"/><Relationship Id="rId13" Type="http://schemas.openxmlformats.org/officeDocument/2006/relationships/hyperlink" Target="https://doi.org/10.1016/j.ajog.2015.12.021" TargetMode="External"/><Relationship Id="rId18" Type="http://schemas.openxmlformats.org/officeDocument/2006/relationships/hyperlink" Target="https://doi.org/10.3390/jcm11216410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doi.org/10.1111/1471-0528.14389" TargetMode="External"/><Relationship Id="rId12" Type="http://schemas.openxmlformats.org/officeDocument/2006/relationships/hyperlink" Target="https://doi.org/10.5603/gp.a2017.0016" TargetMode="External"/><Relationship Id="rId17" Type="http://schemas.openxmlformats.org/officeDocument/2006/relationships/hyperlink" Target="https://doi.org/10.1111/ajo.13505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s://doi.org/10.1016/j.ajog.2014.06.015" TargetMode="External"/><Relationship Id="rId20" Type="http://schemas.openxmlformats.org/officeDocument/2006/relationships/hyperlink" Target="https://doi.org/10.1007/s00404-019-05171-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ajog.2016.03.006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dips.org/downloads/2014ADIPSGDMGuidelinesV18.11.2014_000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videncebasedbirth.com/evidence-on-induction-for-gestational-diabetes/" TargetMode="External"/><Relationship Id="rId19" Type="http://schemas.openxmlformats.org/officeDocument/2006/relationships/hyperlink" Target="https://doi.org/10.1016/j.ajog.2014.03.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00404-014-3313-6" TargetMode="External"/><Relationship Id="rId14" Type="http://schemas.openxmlformats.org/officeDocument/2006/relationships/hyperlink" Target="https://doi.org/10.1371/journal.pmed.1002838" TargetMode="External"/><Relationship Id="rId22" Type="http://schemas.openxmlformats.org/officeDocument/2006/relationships/footer" Target="footer2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6EC9853FEED438B8774253D38AEA0" ma:contentTypeVersion="16" ma:contentTypeDescription="Create a new document." ma:contentTypeScope="" ma:versionID="fb359fa3da0241762fea3fda3914d50b">
  <xsd:schema xmlns:xsd="http://www.w3.org/2001/XMLSchema" xmlns:xs="http://www.w3.org/2001/XMLSchema" xmlns:p="http://schemas.microsoft.com/office/2006/metadata/properties" xmlns:ns2="dcd9a016-b44f-4930-82c1-5cbadada6b38" xmlns:ns3="a1c7c5d5-5171-4684-8fa5-b0a1f8de44fe" targetNamespace="http://schemas.microsoft.com/office/2006/metadata/properties" ma:root="true" ma:fieldsID="5c27852116bda8deebf3e4f3bd63c66a" ns2:_="" ns3:_="">
    <xsd:import namespace="dcd9a016-b44f-4930-82c1-5cbadada6b38"/>
    <xsd:import namespace="a1c7c5d5-5171-4684-8fa5-b0a1f8de4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9a016-b44f-4930-82c1-5cbadada6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cf5ef57-529e-46be-8634-0635eb743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7c5d5-5171-4684-8fa5-b0a1f8de4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d32355-3a6f-4619-96a1-bed4e4853400}" ma:internalName="TaxCatchAll" ma:showField="CatchAllData" ma:web="a1c7c5d5-5171-4684-8fa5-b0a1f8de4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c7c5d5-5171-4684-8fa5-b0a1f8de44fe" xsi:nil="true"/>
    <lcf76f155ced4ddcb4097134ff3c332f xmlns="dcd9a016-b44f-4930-82c1-5cbadada6b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C59E43-C8C7-4D42-97F8-37EF80602C7D}"/>
</file>

<file path=customXml/itemProps2.xml><?xml version="1.0" encoding="utf-8"?>
<ds:datastoreItem xmlns:ds="http://schemas.openxmlformats.org/officeDocument/2006/customXml" ds:itemID="{D4A1E525-05EE-41A5-8079-35FAFCFD4BE1}"/>
</file>

<file path=customXml/itemProps3.xml><?xml version="1.0" encoding="utf-8"?>
<ds:datastoreItem xmlns:ds="http://schemas.openxmlformats.org/officeDocument/2006/customXml" ds:itemID="{4F8AB109-5520-4B4C-87DC-5ED173E87F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1052</Words>
  <Characters>5998</Characters>
  <Application>Microsoft Office Word</Application>
  <DocSecurity>0</DocSecurity>
  <Lines>49</Lines>
  <Paragraphs>14</Paragraphs>
  <ScaleCrop>false</ScaleCrop>
  <Company>Word count: 249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Number One: Conference Abstract and Reference List</dc:title>
  <dc:subject>Professional Evidence (Midwifery) (11304)</dc:subject>
  <dc:creator>u3204494</dc:creator>
  <cp:keywords/>
  <dc:description/>
  <cp:lastModifiedBy>Marjorie.Atchan</cp:lastModifiedBy>
  <cp:revision>4</cp:revision>
  <dcterms:created xsi:type="dcterms:W3CDTF">2023-09-17T10:32:00Z</dcterms:created>
  <dcterms:modified xsi:type="dcterms:W3CDTF">2023-09-22T05:29:00Z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6fef03-d487-4433-8e43-6b81c0a1b7be_Enabled">
    <vt:lpwstr>true</vt:lpwstr>
  </property>
  <property fmtid="{D5CDD505-2E9C-101B-9397-08002B2CF9AE}" pid="3" name="MSIP_Label_bf6fef03-d487-4433-8e43-6b81c0a1b7be_SetDate">
    <vt:lpwstr>2023-09-22T05:29:36Z</vt:lpwstr>
  </property>
  <property fmtid="{D5CDD505-2E9C-101B-9397-08002B2CF9AE}" pid="4" name="MSIP_Label_bf6fef03-d487-4433-8e43-6b81c0a1b7be_Method">
    <vt:lpwstr>Standard</vt:lpwstr>
  </property>
  <property fmtid="{D5CDD505-2E9C-101B-9397-08002B2CF9AE}" pid="5" name="MSIP_Label_bf6fef03-d487-4433-8e43-6b81c0a1b7be_Name">
    <vt:lpwstr>Unclassified</vt:lpwstr>
  </property>
  <property fmtid="{D5CDD505-2E9C-101B-9397-08002B2CF9AE}" pid="6" name="MSIP_Label_bf6fef03-d487-4433-8e43-6b81c0a1b7be_SiteId">
    <vt:lpwstr>1daf5147-a543-4707-a2fb-2acf0b2a3936</vt:lpwstr>
  </property>
  <property fmtid="{D5CDD505-2E9C-101B-9397-08002B2CF9AE}" pid="7" name="MSIP_Label_bf6fef03-d487-4433-8e43-6b81c0a1b7be_ActionId">
    <vt:lpwstr>05a73a54-f98c-4b00-95a9-80843c2f0573</vt:lpwstr>
  </property>
  <property fmtid="{D5CDD505-2E9C-101B-9397-08002B2CF9AE}" pid="8" name="MSIP_Label_bf6fef03-d487-4433-8e43-6b81c0a1b7be_ContentBits">
    <vt:lpwstr>0</vt:lpwstr>
  </property>
  <property fmtid="{D5CDD505-2E9C-101B-9397-08002B2CF9AE}" pid="9" name="ContentTypeId">
    <vt:lpwstr>0x0101008906EC9853FEED438B8774253D38AEA0</vt:lpwstr>
  </property>
</Properties>
</file>