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771F" w14:textId="26C05AE3" w:rsidR="00110C4F" w:rsidRPr="00110C4F" w:rsidRDefault="00110C4F" w:rsidP="00110C4F">
      <w:pPr>
        <w:spacing w:line="360" w:lineRule="auto"/>
        <w:ind w:left="360"/>
        <w:rPr>
          <w:b/>
          <w:bCs/>
          <w:lang w:val="en-GB"/>
        </w:rPr>
      </w:pPr>
      <w:r w:rsidRPr="00110C4F">
        <w:rPr>
          <w:b/>
          <w:bCs/>
          <w:lang w:val="en-GB"/>
        </w:rPr>
        <w:t>Susannah Christensen u3226552</w:t>
      </w:r>
    </w:p>
    <w:p w14:paraId="0224D933" w14:textId="1CE96F9C" w:rsidR="00110C4F" w:rsidRPr="00110C4F" w:rsidRDefault="00110C4F" w:rsidP="00110C4F">
      <w:pPr>
        <w:spacing w:line="360" w:lineRule="auto"/>
        <w:ind w:left="360"/>
        <w:jc w:val="center"/>
        <w:rPr>
          <w:b/>
          <w:bCs/>
          <w:lang w:val="en-GB"/>
        </w:rPr>
      </w:pPr>
      <w:r w:rsidRPr="00110C4F">
        <w:rPr>
          <w:b/>
          <w:bCs/>
          <w:lang w:val="en-GB"/>
        </w:rPr>
        <w:t>Sharing Decisions for a Better Birth Experience</w:t>
      </w:r>
    </w:p>
    <w:p w14:paraId="37593983" w14:textId="0E7991DA" w:rsidR="00F2768A" w:rsidRPr="00F2768A" w:rsidRDefault="00F2768A" w:rsidP="00110C4F">
      <w:pPr>
        <w:spacing w:line="360" w:lineRule="auto"/>
        <w:ind w:left="357" w:firstLine="720"/>
        <w:rPr>
          <w:lang w:val="en-GB"/>
        </w:rPr>
      </w:pPr>
      <w:r>
        <w:rPr>
          <w:lang w:val="en-GB"/>
        </w:rPr>
        <w:t xml:space="preserve">Between 14-30% of </w:t>
      </w:r>
      <w:r w:rsidRPr="00F2768A">
        <w:rPr>
          <w:lang w:val="en-GB"/>
        </w:rPr>
        <w:t xml:space="preserve">those who give birth in Australia experience their births as negative and traumatic experiences, with </w:t>
      </w:r>
      <w:r>
        <w:rPr>
          <w:lang w:val="en-GB"/>
        </w:rPr>
        <w:t xml:space="preserve">up to 12% </w:t>
      </w:r>
      <w:r w:rsidRPr="00F2768A">
        <w:rPr>
          <w:lang w:val="en-GB"/>
        </w:rPr>
        <w:t xml:space="preserve">going on to develop clinical symptoms of </w:t>
      </w:r>
      <w:r w:rsidR="00E52E2E">
        <w:rPr>
          <w:lang w:val="en-GB"/>
        </w:rPr>
        <w:t>post-traumatic</w:t>
      </w:r>
      <w:r>
        <w:rPr>
          <w:lang w:val="en-GB"/>
        </w:rPr>
        <w:t xml:space="preserve"> stress disorder</w:t>
      </w:r>
      <w:r w:rsidR="00110C4F">
        <w:rPr>
          <w:lang w:val="en-GB"/>
        </w:rPr>
        <w:t xml:space="preserve">. </w:t>
      </w:r>
      <w:r w:rsidRPr="00F2768A">
        <w:rPr>
          <w:lang w:val="en-GB"/>
        </w:rPr>
        <w:t xml:space="preserve">Traumatic birth experiences have negative </w:t>
      </w:r>
      <w:r w:rsidR="00617AF6">
        <w:rPr>
          <w:lang w:val="en-GB"/>
        </w:rPr>
        <w:t>impacts</w:t>
      </w:r>
      <w:r w:rsidRPr="00F2768A">
        <w:rPr>
          <w:lang w:val="en-GB"/>
        </w:rPr>
        <w:t xml:space="preserve"> </w:t>
      </w:r>
      <w:r w:rsidR="00617AF6">
        <w:rPr>
          <w:lang w:val="en-GB"/>
        </w:rPr>
        <w:t xml:space="preserve">on </w:t>
      </w:r>
      <w:r w:rsidRPr="00F2768A">
        <w:rPr>
          <w:lang w:val="en-GB"/>
        </w:rPr>
        <w:t>birthing people’s mental healt</w:t>
      </w:r>
      <w:r>
        <w:rPr>
          <w:lang w:val="en-GB"/>
        </w:rPr>
        <w:t>h</w:t>
      </w:r>
      <w:r w:rsidR="00617AF6">
        <w:rPr>
          <w:lang w:val="en-GB"/>
        </w:rPr>
        <w:t xml:space="preserve">, infant bonding and </w:t>
      </w:r>
      <w:r w:rsidRPr="00F2768A">
        <w:rPr>
          <w:lang w:val="en-GB"/>
        </w:rPr>
        <w:t>early parenting</w:t>
      </w:r>
      <w:r w:rsidR="00617AF6">
        <w:rPr>
          <w:lang w:val="en-GB"/>
        </w:rPr>
        <w:t>.</w:t>
      </w:r>
    </w:p>
    <w:p w14:paraId="229B9185" w14:textId="07F108A5" w:rsidR="00F2768A" w:rsidRPr="00F2768A" w:rsidRDefault="00F2768A" w:rsidP="00110C4F">
      <w:pPr>
        <w:spacing w:line="360" w:lineRule="auto"/>
        <w:ind w:left="357" w:firstLine="720"/>
        <w:rPr>
          <w:lang w:val="en-GB"/>
        </w:rPr>
      </w:pPr>
      <w:r w:rsidRPr="00F2768A">
        <w:rPr>
          <w:lang w:val="en-GB"/>
        </w:rPr>
        <w:t xml:space="preserve">In research, </w:t>
      </w:r>
      <w:r w:rsidR="00617AF6">
        <w:rPr>
          <w:lang w:val="en-GB"/>
        </w:rPr>
        <w:t>a</w:t>
      </w:r>
      <w:r w:rsidRPr="00F2768A">
        <w:rPr>
          <w:lang w:val="en-GB"/>
        </w:rPr>
        <w:t xml:space="preserve"> lack of clear communication, autonomy, and involvement in decision making </w:t>
      </w:r>
      <w:r w:rsidR="00617AF6">
        <w:rPr>
          <w:lang w:val="en-GB"/>
        </w:rPr>
        <w:t xml:space="preserve">is identified </w:t>
      </w:r>
      <w:r w:rsidRPr="00F2768A">
        <w:rPr>
          <w:lang w:val="en-GB"/>
        </w:rPr>
        <w:t xml:space="preserve">as contributing </w:t>
      </w:r>
      <w:r w:rsidR="00617AF6">
        <w:rPr>
          <w:lang w:val="en-GB"/>
        </w:rPr>
        <w:t>to a traumatic birth experience.</w:t>
      </w:r>
      <w:r w:rsidR="00110C4F">
        <w:rPr>
          <w:lang w:val="en-GB"/>
        </w:rPr>
        <w:t xml:space="preserve"> </w:t>
      </w:r>
      <w:r w:rsidRPr="00F2768A">
        <w:rPr>
          <w:lang w:val="en-GB"/>
        </w:rPr>
        <w:t>Decision aids are tools used to promote shared decision-making in medical scenarios by presenting in an unbiased summary of information about options, benefits and risks for medical procedures, through written and visual explanation.</w:t>
      </w:r>
      <w:r w:rsidR="00110C4F">
        <w:rPr>
          <w:lang w:val="en-GB"/>
        </w:rPr>
        <w:t xml:space="preserve"> </w:t>
      </w:r>
      <w:r w:rsidRPr="00F2768A">
        <w:rPr>
          <w:lang w:val="en-GB"/>
        </w:rPr>
        <w:t xml:space="preserve">Decision aids have been </w:t>
      </w:r>
      <w:r w:rsidR="00617AF6">
        <w:rPr>
          <w:lang w:val="en-GB"/>
        </w:rPr>
        <w:t xml:space="preserve">implemented in a range of maternity care scenarios where multiple medically reasonable options are available, and have </w:t>
      </w:r>
      <w:r w:rsidRPr="00F2768A">
        <w:rPr>
          <w:lang w:val="en-GB"/>
        </w:rPr>
        <w:t>shown to reduce decisional conflict and regret</w:t>
      </w:r>
      <w:r w:rsidR="00617AF6">
        <w:rPr>
          <w:lang w:val="en-GB"/>
        </w:rPr>
        <w:t>, while increasing knowledge. However</w:t>
      </w:r>
      <w:r w:rsidR="00110C4F">
        <w:rPr>
          <w:lang w:val="en-GB"/>
        </w:rPr>
        <w:t>,</w:t>
      </w:r>
      <w:r w:rsidR="00617AF6">
        <w:rPr>
          <w:lang w:val="en-GB"/>
        </w:rPr>
        <w:t xml:space="preserve"> their implementation has largely been confined to antenatal care </w:t>
      </w:r>
      <w:r w:rsidR="00885ABC">
        <w:rPr>
          <w:lang w:val="en-GB"/>
        </w:rPr>
        <w:t>contexts.</w:t>
      </w:r>
    </w:p>
    <w:p w14:paraId="7F68B45D" w14:textId="762D5631" w:rsidR="003E3790" w:rsidRDefault="00F2768A" w:rsidP="00110C4F">
      <w:pPr>
        <w:spacing w:line="360" w:lineRule="auto"/>
        <w:ind w:left="357" w:firstLine="720"/>
        <w:rPr>
          <w:lang w:val="en-GB"/>
        </w:rPr>
      </w:pPr>
      <w:r w:rsidRPr="00F2768A">
        <w:rPr>
          <w:lang w:val="en-GB"/>
        </w:rPr>
        <w:t xml:space="preserve">This project is a pilot program to be based in an ACT maternity service, which will develop and implement decision </w:t>
      </w:r>
      <w:r>
        <w:rPr>
          <w:lang w:val="en-GB"/>
        </w:rPr>
        <w:t>aids related to intrapartum procedures, to be made available to birthing people both antenatally and intrapartum.</w:t>
      </w:r>
      <w:r w:rsidR="00110C4F">
        <w:rPr>
          <w:lang w:val="en-GB"/>
        </w:rPr>
        <w:t xml:space="preserve"> </w:t>
      </w:r>
      <w:r>
        <w:rPr>
          <w:lang w:val="en-GB"/>
        </w:rPr>
        <w:t>Consumer and clinician engagement and input will identify three intr</w:t>
      </w:r>
      <w:r w:rsidR="00617AF6">
        <w:rPr>
          <w:lang w:val="en-GB"/>
        </w:rPr>
        <w:t>a</w:t>
      </w:r>
      <w:r>
        <w:rPr>
          <w:lang w:val="en-GB"/>
        </w:rPr>
        <w:t>partum procedures to be addressed within the scope of this program.</w:t>
      </w:r>
      <w:r w:rsidR="00110C4F">
        <w:rPr>
          <w:lang w:val="en-GB"/>
        </w:rPr>
        <w:t xml:space="preserve"> </w:t>
      </w:r>
      <w:r w:rsidRPr="00F2768A">
        <w:rPr>
          <w:lang w:val="en-GB"/>
        </w:rPr>
        <w:t>The maternity service will provide training for midwives and other clinicians on the appropriate and effective use of the decision aids.</w:t>
      </w:r>
    </w:p>
    <w:p w14:paraId="08372429" w14:textId="20C79AFD" w:rsidR="00885ABC" w:rsidRDefault="00885ABC" w:rsidP="00110C4F">
      <w:pPr>
        <w:spacing w:line="360" w:lineRule="auto"/>
        <w:ind w:left="357" w:firstLine="720"/>
        <w:rPr>
          <w:lang w:val="en-GB"/>
        </w:rPr>
      </w:pPr>
      <w:r>
        <w:rPr>
          <w:lang w:val="en-GB"/>
        </w:rPr>
        <w:t xml:space="preserve">The </w:t>
      </w:r>
      <w:r w:rsidR="00275966">
        <w:rPr>
          <w:lang w:val="en-GB"/>
        </w:rPr>
        <w:t>primary</w:t>
      </w:r>
      <w:r>
        <w:rPr>
          <w:lang w:val="en-GB"/>
        </w:rPr>
        <w:t xml:space="preserve"> aim of this pilot program will be to examine the impact of a decision aid on rates of traumatic and negative birth experience.</w:t>
      </w:r>
    </w:p>
    <w:p w14:paraId="2F7D5F5A" w14:textId="77777777" w:rsidR="00110C4F" w:rsidRDefault="00110C4F" w:rsidP="00110C4F">
      <w:pPr>
        <w:spacing w:line="360" w:lineRule="auto"/>
        <w:ind w:left="357" w:firstLine="720"/>
        <w:rPr>
          <w:lang w:val="en-GB"/>
        </w:rPr>
      </w:pPr>
    </w:p>
    <w:p w14:paraId="1390CAE5" w14:textId="77777777" w:rsidR="00110C4F" w:rsidRDefault="00110C4F" w:rsidP="00110C4F">
      <w:pPr>
        <w:spacing w:line="360" w:lineRule="auto"/>
        <w:ind w:left="357" w:firstLine="720"/>
        <w:rPr>
          <w:lang w:val="en-GB"/>
        </w:rPr>
      </w:pPr>
    </w:p>
    <w:p w14:paraId="713B5668" w14:textId="0C6EC527" w:rsidR="00110C4F" w:rsidRDefault="00110C4F">
      <w:pPr>
        <w:rPr>
          <w:lang w:val="en-GB"/>
        </w:rPr>
      </w:pPr>
      <w:r>
        <w:rPr>
          <w:lang w:val="en-GB"/>
        </w:rPr>
        <w:br w:type="page"/>
      </w:r>
    </w:p>
    <w:p w14:paraId="108E15E7" w14:textId="3B730A0F" w:rsidR="00110C4F" w:rsidRDefault="00275966" w:rsidP="00E52E2E">
      <w:pPr>
        <w:spacing w:after="0" w:line="240" w:lineRule="auto"/>
        <w:ind w:left="357" w:hanging="357"/>
        <w:rPr>
          <w:b/>
          <w:bCs/>
          <w:lang w:val="en-GB"/>
        </w:rPr>
      </w:pPr>
      <w:r w:rsidRPr="00275966">
        <w:rPr>
          <w:b/>
          <w:bCs/>
          <w:lang w:val="en-GB"/>
        </w:rPr>
        <w:lastRenderedPageBreak/>
        <w:t>References:</w:t>
      </w:r>
    </w:p>
    <w:p w14:paraId="0E8EA8AB" w14:textId="37D0AD0E" w:rsid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75966">
        <w:rPr>
          <w:rFonts w:asciiTheme="minorHAnsi" w:hAnsiTheme="minorHAnsi" w:cstheme="minorHAnsi"/>
          <w:sz w:val="22"/>
          <w:szCs w:val="22"/>
        </w:rPr>
        <w:t>Abdollahpour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S., &amp;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Motaghi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Z. (2019). Lived Traumatic Childbirth Experiences of Newly Delivered Mothers Admitted to the Postpartum Ward: a Phenomenological Study.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Journal of Caring Sciences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8</w:t>
      </w:r>
      <w:r w:rsidRPr="00275966">
        <w:rPr>
          <w:rFonts w:asciiTheme="minorHAnsi" w:hAnsiTheme="minorHAnsi" w:cstheme="minorHAnsi"/>
          <w:sz w:val="22"/>
          <w:szCs w:val="22"/>
        </w:rPr>
        <w:t xml:space="preserve">(1), 23-31. </w:t>
      </w:r>
      <w:hyperlink r:id="rId5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https://doi.org/https://doi.org/10.15171/jcs.2019.004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083AD" w14:textId="627FF333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Alcorn, K. L., O'Donovan, A., Patrick, J. C., Creedy, D., &amp; Devilly, G. J. (2010). A prospective longitudinal study of the prevalence of post-traumatic stress disorder resulting from childbirth events.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Psychological medicine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40</w:t>
      </w:r>
      <w:r w:rsidRPr="00275966">
        <w:rPr>
          <w:rFonts w:asciiTheme="minorHAnsi" w:hAnsiTheme="minorHAnsi" w:cstheme="minorHAnsi"/>
          <w:sz w:val="22"/>
          <w:szCs w:val="22"/>
        </w:rPr>
        <w:t xml:space="preserve">(11), 1849-1859. </w:t>
      </w:r>
      <w:hyperlink r:id="rId6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https://doi.org/10.1017/S0033291709992224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B86EB2" w14:textId="089F5BC9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75966">
        <w:rPr>
          <w:rFonts w:asciiTheme="minorHAnsi" w:hAnsiTheme="minorHAnsi" w:cstheme="minorHAnsi"/>
          <w:sz w:val="22"/>
          <w:szCs w:val="22"/>
        </w:rPr>
        <w:t>Alruwaili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T. A., Crawford, K., Jahanfar, S., Hampton, K., &amp;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Fooladi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E. (2023). Pregnant persons and birth partners' experiences of shared decision-making during pregnancy and childbirth: An umbrella review.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Patient education and </w:t>
      </w:r>
      <w:proofErr w:type="spellStart"/>
      <w:r w:rsidRPr="00275966">
        <w:rPr>
          <w:rFonts w:asciiTheme="minorHAnsi" w:hAnsiTheme="minorHAnsi" w:cstheme="minorHAnsi"/>
          <w:i/>
          <w:iCs/>
          <w:sz w:val="22"/>
          <w:szCs w:val="22"/>
        </w:rPr>
        <w:t>counseling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114</w:t>
      </w:r>
      <w:r w:rsidRPr="00275966">
        <w:rPr>
          <w:rFonts w:asciiTheme="minorHAnsi" w:hAnsiTheme="minorHAnsi" w:cstheme="minorHAnsi"/>
          <w:sz w:val="22"/>
          <w:szCs w:val="22"/>
        </w:rPr>
        <w:t xml:space="preserve">, 107832-107832. </w:t>
      </w:r>
      <w:hyperlink r:id="rId7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https://doi.org/10.1016/j.pec.2023.107832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7B7D40" w14:textId="69967620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Attard, R., Iles, J., Bristow, F., &amp;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Satherley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R.-M. (2022). An interpretative phenomenological analysis of the experience of couples’ recovery from the psychological symptoms of trauma following traumatic childbirth.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BMC pregnancy and childbirth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22</w:t>
      </w:r>
      <w:r w:rsidRPr="00275966">
        <w:rPr>
          <w:rFonts w:asciiTheme="minorHAnsi" w:hAnsiTheme="minorHAnsi" w:cstheme="minorHAnsi"/>
          <w:sz w:val="22"/>
          <w:szCs w:val="22"/>
        </w:rPr>
        <w:t xml:space="preserve">(1), 1-798. </w:t>
      </w:r>
      <w:hyperlink r:id="rId8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https://doi.org/10.1186/s12884-022-05091-2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0F13E" w14:textId="237C6E53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Ayers, S., Wright, D. B., &amp; Thornton, A. (2018). Development of a Measure of Postpartum PTSD: The City Birth Trauma Scale.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Frontiers in psychiatry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9</w:t>
      </w:r>
      <w:r w:rsidRPr="00275966">
        <w:rPr>
          <w:rFonts w:asciiTheme="minorHAnsi" w:hAnsiTheme="minorHAnsi" w:cstheme="minorHAnsi"/>
          <w:sz w:val="22"/>
          <w:szCs w:val="22"/>
        </w:rPr>
        <w:t xml:space="preserve">, 409-409. </w:t>
      </w:r>
      <w:hyperlink r:id="rId9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https://doi.org/10.3389/fpsyt.2018.00409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3AE11" w14:textId="5BB96356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Baptie, G., Andrade, J., Bacon, A. M., &amp; Norman, A. (2020). Birth trauma: the mediating effects of perceived support.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British journal of midwifery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28</w:t>
      </w:r>
      <w:r w:rsidRPr="00275966">
        <w:rPr>
          <w:rFonts w:asciiTheme="minorHAnsi" w:hAnsiTheme="minorHAnsi" w:cstheme="minorHAnsi"/>
          <w:sz w:val="22"/>
          <w:szCs w:val="22"/>
        </w:rPr>
        <w:t xml:space="preserve">(10), 724-730. </w:t>
      </w:r>
      <w:hyperlink r:id="rId10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https://doi.org/10.12968/bjom.2020.28.10.724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99425" w14:textId="7892427F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Baptie, G., Januário, E. M., &amp; Norman, A. (2021). Empowered or powerless? Contributing factors to women's appraisal of traumatic childbirth.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British journal of midwifery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29</w:t>
      </w:r>
      <w:r w:rsidRPr="00275966">
        <w:rPr>
          <w:rFonts w:asciiTheme="minorHAnsi" w:hAnsiTheme="minorHAnsi" w:cstheme="minorHAnsi"/>
          <w:sz w:val="22"/>
          <w:szCs w:val="22"/>
        </w:rPr>
        <w:t xml:space="preserve">(12), 674-682. </w:t>
      </w:r>
      <w:hyperlink r:id="rId11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https://doi.org/10.12968/bjom.2021.29.12.674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544B4" w14:textId="63D95437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Boorman, R. J., Devilly, G. J., Gamble, J., Creedy, D. K., &amp; Fenwick, J. (2014). Childbirth and criteria for traumatic events.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Midwifery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30</w:t>
      </w:r>
      <w:r w:rsidRPr="00275966">
        <w:rPr>
          <w:rFonts w:asciiTheme="minorHAnsi" w:hAnsiTheme="minorHAnsi" w:cstheme="minorHAnsi"/>
          <w:sz w:val="22"/>
          <w:szCs w:val="22"/>
        </w:rPr>
        <w:t xml:space="preserve">(2), 255-261. </w:t>
      </w:r>
      <w:hyperlink r:id="rId12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https://doi.org/https://doi.org/10.1016/j.midw.2013.03.001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C99180" w14:textId="77777777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Creedy, D., &amp; Gamble, J. (2018). Birth trauma and post-traumatic stress disorder.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O&amp;G Magazine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20</w:t>
      </w:r>
      <w:r w:rsidRPr="00275966">
        <w:rPr>
          <w:rFonts w:asciiTheme="minorHAnsi" w:hAnsiTheme="minorHAnsi" w:cstheme="minorHAnsi"/>
          <w:sz w:val="22"/>
          <w:szCs w:val="22"/>
        </w:rPr>
        <w:t xml:space="preserve">(3). </w:t>
      </w:r>
    </w:p>
    <w:p w14:paraId="20DF8264" w14:textId="7F015D7E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75966">
        <w:rPr>
          <w:rFonts w:asciiTheme="minorHAnsi" w:hAnsiTheme="minorHAnsi" w:cstheme="minorHAnsi"/>
          <w:sz w:val="22"/>
          <w:szCs w:val="22"/>
        </w:rPr>
        <w:t>Fameli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A.-l., Costa, D. S. J., Coddington, R., &amp; Hawes, D. J. (2023). Assessment of childbirth-related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post traumatic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 stress disorder in Australian mothers: Psychometric properties of the City Birth Trauma Scale.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Journal of affective disorders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324</w:t>
      </w:r>
      <w:r w:rsidRPr="00275966">
        <w:rPr>
          <w:rFonts w:asciiTheme="minorHAnsi" w:hAnsiTheme="minorHAnsi" w:cstheme="minorHAnsi"/>
          <w:sz w:val="22"/>
          <w:szCs w:val="22"/>
        </w:rPr>
        <w:t xml:space="preserve">, 559-565. </w:t>
      </w:r>
      <w:hyperlink r:id="rId13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https://doi.org/10.1016/j.jad.2022.12.123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99F438" w14:textId="01F358D1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Kennedy, K., Adelson, P., Fleet, J., Steen, M., McKellar, L., Eckert, M., &amp; Peters, M. D. J. (2020). Shared decision aids in pregnancy care: A scoping review.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Midwifery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81</w:t>
      </w:r>
      <w:r w:rsidRPr="00275966">
        <w:rPr>
          <w:rFonts w:asciiTheme="minorHAnsi" w:hAnsiTheme="minorHAnsi" w:cstheme="minorHAnsi"/>
          <w:sz w:val="22"/>
          <w:szCs w:val="22"/>
        </w:rPr>
        <w:t xml:space="preserve">, 102589-102589. </w:t>
      </w:r>
      <w:hyperlink r:id="rId14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https://doi.org/10.1016/j.midw.2019.102589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AE388" w14:textId="40912DDC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Koster, D., Romijn, C.,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Sakko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E., Stam, C., Steenhuis, N., Vries, D., . . . Fontein‐Kuipers, Y. (2020). Traumatic childbirth experiences: practice‐based implications for maternity care professionals from the woman's perspective.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Scandinavian journal of caring sciences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34</w:t>
      </w:r>
      <w:r w:rsidRPr="00275966">
        <w:rPr>
          <w:rFonts w:asciiTheme="minorHAnsi" w:hAnsiTheme="minorHAnsi" w:cstheme="minorHAnsi"/>
          <w:sz w:val="22"/>
          <w:szCs w:val="22"/>
        </w:rPr>
        <w:t xml:space="preserve">(3), 792-799. </w:t>
      </w:r>
      <w:hyperlink r:id="rId15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https://doi.org/10.1111/scs.12786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7B46C" w14:textId="0866DF1C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Kuipers, Y. J., Thomson, G.,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Goberna-Tricas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J.,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Zurera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Hresanová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E.,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Temesgenová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N., . . . Leinweber, J. (2023). The social conception of space of birth narrated by women with negative and traumatic birth experiences.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Women and Birth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36</w:t>
      </w:r>
      <w:r w:rsidRPr="00275966">
        <w:rPr>
          <w:rFonts w:asciiTheme="minorHAnsi" w:hAnsiTheme="minorHAnsi" w:cstheme="minorHAnsi"/>
          <w:sz w:val="22"/>
          <w:szCs w:val="22"/>
        </w:rPr>
        <w:t xml:space="preserve">(1), e78-e85. </w:t>
      </w:r>
      <w:hyperlink r:id="rId16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https://doi.org/https://doi.org/10.1016/j.wombi.2022.04.013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148CF" w14:textId="5A582E6B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75966">
        <w:rPr>
          <w:rFonts w:asciiTheme="minorHAnsi" w:hAnsiTheme="minorHAnsi" w:cstheme="minorHAnsi"/>
          <w:sz w:val="22"/>
          <w:szCs w:val="22"/>
        </w:rPr>
        <w:t>Megregian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M.,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Emeis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C., &amp;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Nieuwenhuijze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M. (2020). The Impact of Shared Decision‐Making in Perinatal Care: A Scoping Review.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Journal of midwifery &amp; women's health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65</w:t>
      </w:r>
      <w:r w:rsidRPr="00275966">
        <w:rPr>
          <w:rFonts w:asciiTheme="minorHAnsi" w:hAnsiTheme="minorHAnsi" w:cstheme="minorHAnsi"/>
          <w:sz w:val="22"/>
          <w:szCs w:val="22"/>
        </w:rPr>
        <w:t xml:space="preserve">(6), 777-788. </w:t>
      </w:r>
      <w:hyperlink r:id="rId17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https://doi.org/10.1111/jmwh.13128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3022C" w14:textId="6FC1908C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Murphy, H., &amp; Strong, J. (2018). Just another ordinary bad birth? A narrative analysis of first time mothers' traumatic birth experiences.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Health care for women international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39</w:t>
      </w:r>
      <w:r w:rsidRPr="00275966">
        <w:rPr>
          <w:rFonts w:asciiTheme="minorHAnsi" w:hAnsiTheme="minorHAnsi" w:cstheme="minorHAnsi"/>
          <w:sz w:val="22"/>
          <w:szCs w:val="22"/>
        </w:rPr>
        <w:t xml:space="preserve">(6), 619-643. </w:t>
      </w:r>
      <w:hyperlink r:id="rId18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https://doi.org/10.1080/07399332.2018.1442838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704B6" w14:textId="46D042F8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lastRenderedPageBreak/>
        <w:t xml:space="preserve">Peeler, S., Stedmon, J., Chung, M. C., &amp; </w:t>
      </w:r>
      <w:proofErr w:type="spellStart"/>
      <w:r w:rsidRPr="00275966">
        <w:rPr>
          <w:rFonts w:asciiTheme="minorHAnsi" w:hAnsiTheme="minorHAnsi" w:cstheme="minorHAnsi"/>
          <w:sz w:val="22"/>
          <w:szCs w:val="22"/>
        </w:rPr>
        <w:t>Skirton</w:t>
      </w:r>
      <w:proofErr w:type="spellEnd"/>
      <w:r w:rsidRPr="00275966">
        <w:rPr>
          <w:rFonts w:asciiTheme="minorHAnsi" w:hAnsiTheme="minorHAnsi" w:cstheme="minorHAnsi"/>
          <w:sz w:val="22"/>
          <w:szCs w:val="22"/>
        </w:rPr>
        <w:t xml:space="preserve">, H. (2018). Women's experiences of living with postnatal PTSD.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Midwifery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56</w:t>
      </w:r>
      <w:r w:rsidRPr="00275966">
        <w:rPr>
          <w:rFonts w:asciiTheme="minorHAnsi" w:hAnsiTheme="minorHAnsi" w:cstheme="minorHAnsi"/>
          <w:sz w:val="22"/>
          <w:szCs w:val="22"/>
        </w:rPr>
        <w:t xml:space="preserve">, 70-78. </w:t>
      </w:r>
      <w:hyperlink r:id="rId19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https://doi.org/https://doi.org/10.1016/j.midw.2017.09.019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C92D5" w14:textId="3FC83CDC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Simpson, M., Schmied, V., Dickson, C., &amp; Dahlen, H. G. (2018). Postnatal post-traumatic stress: An integrative review.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Women and Birth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31</w:t>
      </w:r>
      <w:r w:rsidRPr="00275966">
        <w:rPr>
          <w:rFonts w:asciiTheme="minorHAnsi" w:hAnsiTheme="minorHAnsi" w:cstheme="minorHAnsi"/>
          <w:sz w:val="22"/>
          <w:szCs w:val="22"/>
        </w:rPr>
        <w:t xml:space="preserve">(5), 367-379. </w:t>
      </w:r>
      <w:hyperlink r:id="rId20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https://doi.org/https://doi.org/10.1016/j.wombi.2017.12.003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9D19E" w14:textId="35DBE46D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Watson, K., White, C., Hall, H., &amp; Hewitt, A. (2021). Women’s experiences of birth trauma: A scoping review.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Women and Birth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34</w:t>
      </w:r>
      <w:r w:rsidRPr="00275966">
        <w:rPr>
          <w:rFonts w:asciiTheme="minorHAnsi" w:hAnsiTheme="minorHAnsi" w:cstheme="minorHAnsi"/>
          <w:sz w:val="22"/>
          <w:szCs w:val="22"/>
        </w:rPr>
        <w:t xml:space="preserve">(5), 417-424. </w:t>
      </w:r>
      <w:hyperlink r:id="rId21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https://doi.org/https://doi.org/10.1016/j.wombi.2020.09.016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B64E0" w14:textId="7A7A8399" w:rsidR="00275966" w:rsidRPr="00275966" w:rsidRDefault="00275966" w:rsidP="00E52E2E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75966">
        <w:rPr>
          <w:rFonts w:asciiTheme="minorHAnsi" w:hAnsiTheme="minorHAnsi" w:cstheme="minorHAnsi"/>
          <w:sz w:val="22"/>
          <w:szCs w:val="22"/>
        </w:rPr>
        <w:t xml:space="preserve">Whybrow, R., Webster, L. M., Seed, P. T., Sandall, J., &amp; Chappell, L. C. (2022). The effectiveness of decision aids for pregnancy related decision-making in women with pre-pregnancy morbidity; systematic review and meta-analysis. 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>BMC pregnancy and childbirth</w:t>
      </w:r>
      <w:r w:rsidRPr="00275966">
        <w:rPr>
          <w:rFonts w:asciiTheme="minorHAnsi" w:hAnsiTheme="minorHAnsi" w:cstheme="minorHAnsi"/>
          <w:sz w:val="22"/>
          <w:szCs w:val="22"/>
        </w:rPr>
        <w:t>,</w:t>
      </w:r>
      <w:r w:rsidRPr="00275966">
        <w:rPr>
          <w:rFonts w:asciiTheme="minorHAnsi" w:hAnsiTheme="minorHAnsi" w:cstheme="minorHAnsi"/>
          <w:i/>
          <w:iCs/>
          <w:sz w:val="22"/>
          <w:szCs w:val="22"/>
        </w:rPr>
        <w:t xml:space="preserve"> 22</w:t>
      </w:r>
      <w:r w:rsidRPr="00275966">
        <w:rPr>
          <w:rFonts w:asciiTheme="minorHAnsi" w:hAnsiTheme="minorHAnsi" w:cstheme="minorHAnsi"/>
          <w:sz w:val="22"/>
          <w:szCs w:val="22"/>
        </w:rPr>
        <w:t xml:space="preserve">(1), 81-81. </w:t>
      </w:r>
      <w:hyperlink r:id="rId22" w:history="1">
        <w:r w:rsidR="00E52E2E" w:rsidRPr="001A175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https://doi.org/10.1186/s12884-022-04402-x</w:t>
        </w:r>
      </w:hyperlink>
      <w:r w:rsidR="00E52E2E">
        <w:rPr>
          <w:rFonts w:asciiTheme="minorHAnsi" w:hAnsiTheme="minorHAnsi" w:cstheme="minorHAnsi"/>
          <w:sz w:val="22"/>
          <w:szCs w:val="22"/>
        </w:rPr>
        <w:t xml:space="preserve"> </w:t>
      </w:r>
      <w:r w:rsidRPr="00275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B241" w14:textId="77777777" w:rsidR="00275966" w:rsidRPr="00275966" w:rsidRDefault="00275966" w:rsidP="00E52E2E">
      <w:pPr>
        <w:spacing w:after="0" w:line="240" w:lineRule="auto"/>
        <w:ind w:left="357" w:hanging="357"/>
        <w:rPr>
          <w:rFonts w:cstheme="minorHAnsi"/>
          <w:lang w:val="en-GB"/>
        </w:rPr>
      </w:pPr>
    </w:p>
    <w:sectPr w:rsidR="00275966" w:rsidRPr="0027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B10"/>
    <w:multiLevelType w:val="hybridMultilevel"/>
    <w:tmpl w:val="94DE912A"/>
    <w:lvl w:ilvl="0" w:tplc="5352C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5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8A"/>
    <w:rsid w:val="00110C4F"/>
    <w:rsid w:val="00174FA8"/>
    <w:rsid w:val="00275966"/>
    <w:rsid w:val="003E3790"/>
    <w:rsid w:val="0049611E"/>
    <w:rsid w:val="00617AF6"/>
    <w:rsid w:val="00885ABC"/>
    <w:rsid w:val="00BA4B44"/>
    <w:rsid w:val="00E52E2E"/>
    <w:rsid w:val="00F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8889"/>
  <w15:chartTrackingRefBased/>
  <w15:docId w15:val="{B186D6CE-B2ED-48BD-B4EA-6347C48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2759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84-022-05091-2" TargetMode="External"/><Relationship Id="rId13" Type="http://schemas.openxmlformats.org/officeDocument/2006/relationships/hyperlink" Target="https://doi.org/10.1016/j.jad.2022.12.123" TargetMode="External"/><Relationship Id="rId18" Type="http://schemas.openxmlformats.org/officeDocument/2006/relationships/hyperlink" Target="https://doi.org/10.1080/07399332.2018.1442838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doi.org/https://doi.org/10.1016/j.wombi.2020.09.016" TargetMode="External"/><Relationship Id="rId7" Type="http://schemas.openxmlformats.org/officeDocument/2006/relationships/hyperlink" Target="https://doi.org/10.1016/j.pec.2023.107832" TargetMode="External"/><Relationship Id="rId12" Type="http://schemas.openxmlformats.org/officeDocument/2006/relationships/hyperlink" Target="https://doi.org/https://doi.org/10.1016/j.midw.2013.03.001" TargetMode="External"/><Relationship Id="rId17" Type="http://schemas.openxmlformats.org/officeDocument/2006/relationships/hyperlink" Target="https://doi.org/10.1111/jmwh.13128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doi.org/https://doi.org/10.1016/j.wombi.2022.04.013" TargetMode="External"/><Relationship Id="rId20" Type="http://schemas.openxmlformats.org/officeDocument/2006/relationships/hyperlink" Target="https://doi.org/https://doi.org/10.1016/j.wombi.2017.12.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7/S0033291709992224" TargetMode="External"/><Relationship Id="rId11" Type="http://schemas.openxmlformats.org/officeDocument/2006/relationships/hyperlink" Target="https://doi.org/10.12968/bjom.2021.29.12.67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https://doi.org/10.15171/jcs.2019.004" TargetMode="External"/><Relationship Id="rId15" Type="http://schemas.openxmlformats.org/officeDocument/2006/relationships/hyperlink" Target="https://doi.org/10.1111/scs.127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2968/bjom.2020.28.10.724" TargetMode="External"/><Relationship Id="rId19" Type="http://schemas.openxmlformats.org/officeDocument/2006/relationships/hyperlink" Target="https://doi.org/https://doi.org/10.1016/j.midw.2017.09.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psyt.2018.00409" TargetMode="External"/><Relationship Id="rId14" Type="http://schemas.openxmlformats.org/officeDocument/2006/relationships/hyperlink" Target="https://doi.org/10.1016/j.midw.2019.102589" TargetMode="External"/><Relationship Id="rId22" Type="http://schemas.openxmlformats.org/officeDocument/2006/relationships/hyperlink" Target="https://doi.org/10.1186/s12884-022-04402-x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5404C-247B-40AC-8657-D2EE57F2C418}"/>
</file>

<file path=customXml/itemProps2.xml><?xml version="1.0" encoding="utf-8"?>
<ds:datastoreItem xmlns:ds="http://schemas.openxmlformats.org/officeDocument/2006/customXml" ds:itemID="{CF7A6468-E899-41F5-8717-E27934A0CAA1}"/>
</file>

<file path=customXml/itemProps3.xml><?xml version="1.0" encoding="utf-8"?>
<ds:datastoreItem xmlns:ds="http://schemas.openxmlformats.org/officeDocument/2006/customXml" ds:itemID="{08096BD4-363E-49C8-96D8-B1387D629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</dc:creator>
  <cp:keywords/>
  <dc:description/>
  <cp:lastModifiedBy>Marjorie.Atchan</cp:lastModifiedBy>
  <cp:revision>2</cp:revision>
  <dcterms:created xsi:type="dcterms:W3CDTF">2023-09-18T13:59:00Z</dcterms:created>
  <dcterms:modified xsi:type="dcterms:W3CDTF">2023-09-22T05:22:00Z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2023-09-22T05:22:38Z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520b79ed-2834-42f9-84f3-1275964bae60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