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3D40" w14:textId="02C8C570" w:rsidR="00814E99" w:rsidRPr="002D2AC3" w:rsidRDefault="00814E99" w:rsidP="00F579EB">
      <w:pPr>
        <w:spacing w:line="360" w:lineRule="auto"/>
        <w:jc w:val="center"/>
        <w:rPr>
          <w:sz w:val="22"/>
          <w:szCs w:val="22"/>
        </w:rPr>
      </w:pPr>
    </w:p>
    <w:p w14:paraId="50BE36C0" w14:textId="77777777" w:rsidR="002D2AC3" w:rsidRPr="002D2AC3" w:rsidRDefault="002D2AC3" w:rsidP="002D2AC3">
      <w:pPr>
        <w:shd w:val="clear" w:color="auto" w:fill="FFFFFF"/>
        <w:spacing w:line="360" w:lineRule="auto"/>
        <w:outlineLvl w:val="0"/>
        <w:rPr>
          <w:b/>
          <w:sz w:val="22"/>
          <w:szCs w:val="22"/>
        </w:rPr>
      </w:pPr>
      <w:r w:rsidRPr="002D2AC3">
        <w:rPr>
          <w:b/>
          <w:sz w:val="22"/>
          <w:szCs w:val="22"/>
        </w:rPr>
        <w:t>U3227231 – Sarah Beaumont</w:t>
      </w:r>
    </w:p>
    <w:p w14:paraId="425C4415" w14:textId="69D1A0D2" w:rsidR="00F579EB" w:rsidRPr="00B1154C" w:rsidRDefault="002D2AC3" w:rsidP="00B1154C">
      <w:pPr>
        <w:pStyle w:val="p1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2D2AC3">
        <w:rPr>
          <w:rFonts w:asciiTheme="minorHAnsi" w:hAnsiTheme="minorHAnsi"/>
          <w:b/>
          <w:sz w:val="22"/>
          <w:szCs w:val="22"/>
        </w:rPr>
        <w:t>Empowering survivors: A trauma informed approach to vaginal examinations for women with a history of sexual assault.</w:t>
      </w:r>
    </w:p>
    <w:p w14:paraId="40ECCB31" w14:textId="16DB92E8" w:rsidR="00831143" w:rsidRPr="002D2AC3" w:rsidRDefault="00831143" w:rsidP="00B1154C">
      <w:pPr>
        <w:pStyle w:val="p1"/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2D2AC3">
        <w:rPr>
          <w:rFonts w:asciiTheme="minorHAnsi" w:hAnsiTheme="minorHAnsi"/>
          <w:sz w:val="22"/>
          <w:szCs w:val="22"/>
        </w:rPr>
        <w:t>Women with a history of sexual assault are at an increased risk of labour dystocia, caesarean section, assisted deliveries, and birth trauma</w:t>
      </w:r>
      <w:r w:rsidR="00C31618" w:rsidRPr="002D2AC3">
        <w:rPr>
          <w:rFonts w:asciiTheme="minorHAnsi" w:hAnsiTheme="minorHAnsi"/>
          <w:sz w:val="22"/>
          <w:szCs w:val="22"/>
        </w:rPr>
        <w:t xml:space="preserve">, with </w:t>
      </w:r>
      <w:r w:rsidRPr="002D2AC3">
        <w:rPr>
          <w:rFonts w:asciiTheme="minorHAnsi" w:hAnsiTheme="minorHAnsi"/>
          <w:sz w:val="22"/>
          <w:szCs w:val="22"/>
        </w:rPr>
        <w:t>significant imp</w:t>
      </w:r>
      <w:r w:rsidR="00C31618" w:rsidRPr="002D2AC3">
        <w:rPr>
          <w:rFonts w:asciiTheme="minorHAnsi" w:hAnsiTheme="minorHAnsi"/>
          <w:sz w:val="22"/>
          <w:szCs w:val="22"/>
        </w:rPr>
        <w:t xml:space="preserve">acts </w:t>
      </w:r>
      <w:r w:rsidR="00C010AA" w:rsidRPr="002D2AC3">
        <w:rPr>
          <w:rFonts w:asciiTheme="minorHAnsi" w:hAnsiTheme="minorHAnsi"/>
          <w:sz w:val="22"/>
          <w:szCs w:val="22"/>
        </w:rPr>
        <w:t>on postnatal</w:t>
      </w:r>
      <w:r w:rsidRPr="002D2AC3">
        <w:rPr>
          <w:rFonts w:asciiTheme="minorHAnsi" w:hAnsiTheme="minorHAnsi"/>
          <w:sz w:val="22"/>
          <w:szCs w:val="22"/>
        </w:rPr>
        <w:t xml:space="preserve"> wellbeing</w:t>
      </w:r>
      <w:r w:rsidR="00C31618" w:rsidRPr="002D2AC3">
        <w:rPr>
          <w:rFonts w:asciiTheme="minorHAnsi" w:hAnsiTheme="minorHAnsi"/>
          <w:sz w:val="22"/>
          <w:szCs w:val="22"/>
        </w:rPr>
        <w:t>,</w:t>
      </w:r>
      <w:r w:rsidRPr="002D2AC3">
        <w:rPr>
          <w:rFonts w:asciiTheme="minorHAnsi" w:hAnsiTheme="minorHAnsi"/>
          <w:sz w:val="22"/>
          <w:szCs w:val="22"/>
        </w:rPr>
        <w:t xml:space="preserve"> breastfeeding</w:t>
      </w:r>
      <w:r w:rsidR="00C010AA">
        <w:rPr>
          <w:rFonts w:asciiTheme="minorHAnsi" w:hAnsiTheme="minorHAnsi"/>
          <w:sz w:val="22"/>
          <w:szCs w:val="22"/>
        </w:rPr>
        <w:t>,</w:t>
      </w:r>
      <w:r w:rsidRPr="002D2AC3">
        <w:rPr>
          <w:rFonts w:asciiTheme="minorHAnsi" w:hAnsiTheme="minorHAnsi"/>
          <w:sz w:val="22"/>
          <w:szCs w:val="22"/>
        </w:rPr>
        <w:t xml:space="preserve"> and infant bonding. </w:t>
      </w:r>
      <w:r w:rsidR="00C31618" w:rsidRPr="002D2AC3">
        <w:rPr>
          <w:rFonts w:asciiTheme="minorHAnsi" w:hAnsiTheme="minorHAnsi"/>
          <w:sz w:val="22"/>
          <w:szCs w:val="22"/>
        </w:rPr>
        <w:t>D</w:t>
      </w:r>
      <w:r w:rsidRPr="002D2AC3">
        <w:rPr>
          <w:rFonts w:asciiTheme="minorHAnsi" w:hAnsiTheme="minorHAnsi"/>
          <w:sz w:val="22"/>
          <w:szCs w:val="22"/>
        </w:rPr>
        <w:t>istress caused by routine intrapartum vaginal examinations</w:t>
      </w:r>
      <w:r w:rsidR="00E150A1" w:rsidRPr="002D2AC3">
        <w:rPr>
          <w:rFonts w:asciiTheme="minorHAnsi" w:hAnsiTheme="minorHAnsi"/>
          <w:sz w:val="22"/>
          <w:szCs w:val="22"/>
        </w:rPr>
        <w:t xml:space="preserve"> (VE’s)</w:t>
      </w:r>
      <w:r w:rsidRPr="002D2AC3">
        <w:rPr>
          <w:rFonts w:asciiTheme="minorHAnsi" w:hAnsiTheme="minorHAnsi"/>
          <w:sz w:val="22"/>
          <w:szCs w:val="22"/>
        </w:rPr>
        <w:t xml:space="preserve">, leading to increased fear </w:t>
      </w:r>
      <w:r w:rsidR="00C31330" w:rsidRPr="002D2AC3">
        <w:rPr>
          <w:rFonts w:asciiTheme="minorHAnsi" w:hAnsiTheme="minorHAnsi"/>
          <w:sz w:val="22"/>
          <w:szCs w:val="22"/>
        </w:rPr>
        <w:t xml:space="preserve">during labour </w:t>
      </w:r>
      <w:r w:rsidRPr="002D2AC3">
        <w:rPr>
          <w:rFonts w:asciiTheme="minorHAnsi" w:hAnsiTheme="minorHAnsi"/>
          <w:sz w:val="22"/>
          <w:szCs w:val="22"/>
        </w:rPr>
        <w:t xml:space="preserve">and potential delays in </w:t>
      </w:r>
      <w:r w:rsidR="00C31330" w:rsidRPr="002D2AC3">
        <w:rPr>
          <w:rFonts w:asciiTheme="minorHAnsi" w:hAnsiTheme="minorHAnsi"/>
          <w:sz w:val="22"/>
          <w:szCs w:val="22"/>
        </w:rPr>
        <w:t xml:space="preserve">labour </w:t>
      </w:r>
      <w:r w:rsidRPr="002D2AC3">
        <w:rPr>
          <w:rFonts w:asciiTheme="minorHAnsi" w:hAnsiTheme="minorHAnsi"/>
          <w:sz w:val="22"/>
          <w:szCs w:val="22"/>
        </w:rPr>
        <w:t>progress</w:t>
      </w:r>
      <w:r w:rsidR="00C31618" w:rsidRPr="002D2AC3">
        <w:rPr>
          <w:rFonts w:asciiTheme="minorHAnsi" w:hAnsiTheme="minorHAnsi"/>
          <w:sz w:val="22"/>
          <w:szCs w:val="22"/>
        </w:rPr>
        <w:t xml:space="preserve"> is a contributing factor</w:t>
      </w:r>
      <w:r w:rsidRPr="002D2AC3">
        <w:rPr>
          <w:rFonts w:asciiTheme="minorHAnsi" w:hAnsiTheme="minorHAnsi"/>
          <w:sz w:val="22"/>
          <w:szCs w:val="22"/>
        </w:rPr>
        <w:t xml:space="preserve">. </w:t>
      </w:r>
      <w:r w:rsidR="00C31618" w:rsidRPr="002D2AC3">
        <w:rPr>
          <w:rFonts w:asciiTheme="minorHAnsi" w:hAnsiTheme="minorHAnsi"/>
          <w:sz w:val="22"/>
          <w:szCs w:val="22"/>
        </w:rPr>
        <w:t>T</w:t>
      </w:r>
      <w:r w:rsidRPr="002D2AC3">
        <w:rPr>
          <w:rFonts w:asciiTheme="minorHAnsi" w:hAnsiTheme="minorHAnsi"/>
          <w:sz w:val="22"/>
          <w:szCs w:val="22"/>
        </w:rPr>
        <w:t>he implementation of a new hospital policy</w:t>
      </w:r>
      <w:r w:rsidR="00C31618" w:rsidRPr="002D2AC3">
        <w:rPr>
          <w:rFonts w:asciiTheme="minorHAnsi" w:hAnsiTheme="minorHAnsi"/>
          <w:sz w:val="22"/>
          <w:szCs w:val="22"/>
        </w:rPr>
        <w:t>, namely only offering a VE as clinically indicated for women known to have a history of sexual assault will mitigate this issue</w:t>
      </w:r>
      <w:r w:rsidR="00B1154C">
        <w:rPr>
          <w:rFonts w:asciiTheme="minorHAnsi" w:hAnsiTheme="minorHAnsi"/>
          <w:sz w:val="22"/>
          <w:szCs w:val="22"/>
        </w:rPr>
        <w:t>.</w:t>
      </w:r>
    </w:p>
    <w:p w14:paraId="573BE5D9" w14:textId="79508394" w:rsidR="00831143" w:rsidRPr="002D2AC3" w:rsidRDefault="00C31618" w:rsidP="00B1154C">
      <w:pPr>
        <w:pStyle w:val="p1"/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2D2AC3">
        <w:rPr>
          <w:rFonts w:asciiTheme="minorHAnsi" w:hAnsiTheme="minorHAnsi"/>
          <w:sz w:val="22"/>
          <w:szCs w:val="22"/>
        </w:rPr>
        <w:t>Women who reveal a history of sexual assault in antenatal appointments or during labour will be flagged in the Digital Health Record (DHR) and by healthcare providers</w:t>
      </w:r>
      <w:r w:rsidR="00B1154C">
        <w:rPr>
          <w:rFonts w:asciiTheme="minorHAnsi" w:hAnsiTheme="minorHAnsi"/>
          <w:sz w:val="22"/>
          <w:szCs w:val="22"/>
        </w:rPr>
        <w:t>.</w:t>
      </w:r>
      <w:r w:rsidR="00831143" w:rsidRPr="002D2AC3">
        <w:rPr>
          <w:rFonts w:asciiTheme="minorHAnsi" w:hAnsiTheme="minorHAnsi"/>
          <w:sz w:val="22"/>
          <w:szCs w:val="22"/>
        </w:rPr>
        <w:t xml:space="preserve"> When the woman is in labour, her progress </w:t>
      </w:r>
      <w:r w:rsidR="00B1154C">
        <w:rPr>
          <w:rFonts w:asciiTheme="minorHAnsi" w:hAnsiTheme="minorHAnsi"/>
          <w:sz w:val="22"/>
          <w:szCs w:val="22"/>
        </w:rPr>
        <w:t>will</w:t>
      </w:r>
      <w:r w:rsidR="00831143" w:rsidRPr="002D2AC3">
        <w:rPr>
          <w:rFonts w:asciiTheme="minorHAnsi" w:hAnsiTheme="minorHAnsi"/>
          <w:sz w:val="22"/>
          <w:szCs w:val="22"/>
        </w:rPr>
        <w:t xml:space="preserve"> be assessed through means other than cervical dilation, such as behavioural cues, contractions, fluid loss, the rhombus of Michaelis, and the 'purple line'. The policy will outline the clinical indicators for </w:t>
      </w:r>
      <w:r w:rsidR="00E150A1" w:rsidRPr="002D2AC3">
        <w:rPr>
          <w:rFonts w:asciiTheme="minorHAnsi" w:hAnsiTheme="minorHAnsi"/>
          <w:sz w:val="22"/>
          <w:szCs w:val="22"/>
        </w:rPr>
        <w:t>VE’s</w:t>
      </w:r>
      <w:r w:rsidR="00831143" w:rsidRPr="002D2AC3">
        <w:rPr>
          <w:rFonts w:asciiTheme="minorHAnsi" w:hAnsiTheme="minorHAnsi"/>
          <w:sz w:val="22"/>
          <w:szCs w:val="22"/>
        </w:rPr>
        <w:t>, which will be offered without coercion and exhibiting trauma-informed care.</w:t>
      </w:r>
      <w:r w:rsidR="00BF7F58" w:rsidRPr="002D2AC3">
        <w:rPr>
          <w:rFonts w:asciiTheme="minorHAnsi" w:hAnsiTheme="minorHAnsi"/>
          <w:sz w:val="22"/>
          <w:szCs w:val="22"/>
        </w:rPr>
        <w:t xml:space="preserve"> </w:t>
      </w:r>
    </w:p>
    <w:p w14:paraId="2FEDA7E0" w14:textId="10F74E8B" w:rsidR="00831143" w:rsidRPr="002D2AC3" w:rsidRDefault="00831143" w:rsidP="00B1154C">
      <w:pPr>
        <w:pStyle w:val="p1"/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2D2AC3">
        <w:rPr>
          <w:rFonts w:asciiTheme="minorHAnsi" w:hAnsiTheme="minorHAnsi"/>
          <w:sz w:val="22"/>
          <w:szCs w:val="22"/>
        </w:rPr>
        <w:t xml:space="preserve">This tailored approach </w:t>
      </w:r>
      <w:r w:rsidR="00C31618" w:rsidRPr="002D2AC3">
        <w:rPr>
          <w:rFonts w:asciiTheme="minorHAnsi" w:hAnsiTheme="minorHAnsi"/>
          <w:sz w:val="22"/>
          <w:szCs w:val="22"/>
        </w:rPr>
        <w:t>fosters</w:t>
      </w:r>
      <w:r w:rsidRPr="002D2AC3">
        <w:rPr>
          <w:rFonts w:asciiTheme="minorHAnsi" w:hAnsiTheme="minorHAnsi"/>
          <w:sz w:val="22"/>
          <w:szCs w:val="22"/>
        </w:rPr>
        <w:t xml:space="preserve"> an environment of trust, respect, and partnership between the woman and her healthcare provider. </w:t>
      </w:r>
      <w:r w:rsidR="00C31618" w:rsidRPr="002D2AC3">
        <w:rPr>
          <w:rFonts w:asciiTheme="minorHAnsi" w:hAnsiTheme="minorHAnsi"/>
          <w:sz w:val="22"/>
          <w:szCs w:val="22"/>
        </w:rPr>
        <w:t>I</w:t>
      </w:r>
      <w:r w:rsidRPr="002D2AC3">
        <w:rPr>
          <w:rFonts w:asciiTheme="minorHAnsi" w:hAnsiTheme="minorHAnsi"/>
          <w:sz w:val="22"/>
          <w:szCs w:val="22"/>
        </w:rPr>
        <w:t xml:space="preserve">t </w:t>
      </w:r>
      <w:r w:rsidR="00C31618" w:rsidRPr="002D2AC3">
        <w:rPr>
          <w:rFonts w:asciiTheme="minorHAnsi" w:hAnsiTheme="minorHAnsi"/>
          <w:sz w:val="22"/>
          <w:szCs w:val="22"/>
        </w:rPr>
        <w:t xml:space="preserve">also </w:t>
      </w:r>
      <w:r w:rsidRPr="002D2AC3">
        <w:rPr>
          <w:rFonts w:asciiTheme="minorHAnsi" w:hAnsiTheme="minorHAnsi"/>
          <w:sz w:val="22"/>
          <w:szCs w:val="22"/>
        </w:rPr>
        <w:t xml:space="preserve">seeks to reduce </w:t>
      </w:r>
      <w:r w:rsidR="00C31618" w:rsidRPr="002D2AC3">
        <w:rPr>
          <w:rFonts w:asciiTheme="minorHAnsi" w:hAnsiTheme="minorHAnsi"/>
          <w:sz w:val="22"/>
          <w:szCs w:val="22"/>
        </w:rPr>
        <w:t xml:space="preserve">the </w:t>
      </w:r>
      <w:r w:rsidR="00C36443" w:rsidRPr="002D2AC3">
        <w:rPr>
          <w:rFonts w:asciiTheme="minorHAnsi" w:hAnsiTheme="minorHAnsi"/>
          <w:sz w:val="22"/>
          <w:szCs w:val="22"/>
        </w:rPr>
        <w:t>heightened</w:t>
      </w:r>
      <w:r w:rsidRPr="002D2AC3">
        <w:rPr>
          <w:rFonts w:asciiTheme="minorHAnsi" w:hAnsiTheme="minorHAnsi"/>
          <w:sz w:val="22"/>
          <w:szCs w:val="22"/>
        </w:rPr>
        <w:t xml:space="preserve"> risk of birth trauma and interventions among this population of women and the possible implications</w:t>
      </w:r>
      <w:r w:rsidR="008349FB" w:rsidRPr="002D2AC3">
        <w:rPr>
          <w:rFonts w:asciiTheme="minorHAnsi" w:hAnsiTheme="minorHAnsi"/>
          <w:sz w:val="22"/>
          <w:szCs w:val="22"/>
        </w:rPr>
        <w:t xml:space="preserve"> these interventions </w:t>
      </w:r>
      <w:r w:rsidRPr="002D2AC3">
        <w:rPr>
          <w:rFonts w:asciiTheme="minorHAnsi" w:hAnsiTheme="minorHAnsi"/>
          <w:sz w:val="22"/>
          <w:szCs w:val="22"/>
        </w:rPr>
        <w:t>ha</w:t>
      </w:r>
      <w:r w:rsidR="008349FB" w:rsidRPr="002D2AC3">
        <w:rPr>
          <w:rFonts w:asciiTheme="minorHAnsi" w:hAnsiTheme="minorHAnsi"/>
          <w:sz w:val="22"/>
          <w:szCs w:val="22"/>
        </w:rPr>
        <w:t xml:space="preserve">ve </w:t>
      </w:r>
      <w:r w:rsidR="00B1154C">
        <w:rPr>
          <w:rFonts w:asciiTheme="minorHAnsi" w:hAnsiTheme="minorHAnsi"/>
          <w:sz w:val="22"/>
          <w:szCs w:val="22"/>
        </w:rPr>
        <w:t>on the postnatal period.</w:t>
      </w:r>
    </w:p>
    <w:p w14:paraId="4B4E0162" w14:textId="77777777" w:rsidR="00831143" w:rsidRPr="002D2AC3" w:rsidRDefault="00831143" w:rsidP="00B1154C">
      <w:pPr>
        <w:pStyle w:val="p1"/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 w:rsidRPr="002D2AC3">
        <w:rPr>
          <w:rFonts w:asciiTheme="minorHAnsi" w:hAnsiTheme="minorHAnsi"/>
          <w:sz w:val="22"/>
          <w:szCs w:val="22"/>
        </w:rPr>
        <w:t>By implementing this policy, we aim to promote best practices in trauma-informed care and provide a policy that can improve the quality of care for vulnerable women.</w:t>
      </w:r>
    </w:p>
    <w:p w14:paraId="0A97F19C" w14:textId="77777777" w:rsidR="008A6E4B" w:rsidRPr="002D2AC3" w:rsidRDefault="00000000" w:rsidP="00F579EB">
      <w:pPr>
        <w:spacing w:line="360" w:lineRule="auto"/>
        <w:rPr>
          <w:sz w:val="22"/>
          <w:szCs w:val="22"/>
          <w:lang w:val="en-AU"/>
        </w:rPr>
      </w:pPr>
    </w:p>
    <w:p w14:paraId="50F718A1" w14:textId="77777777" w:rsidR="00F579EB" w:rsidRPr="002D2AC3" w:rsidRDefault="00F579EB" w:rsidP="00F579EB">
      <w:pPr>
        <w:spacing w:line="360" w:lineRule="auto"/>
        <w:rPr>
          <w:sz w:val="22"/>
          <w:szCs w:val="22"/>
          <w:lang w:val="en-AU"/>
        </w:rPr>
      </w:pPr>
    </w:p>
    <w:p w14:paraId="7CEAECA7" w14:textId="77777777" w:rsidR="00B34B8E" w:rsidRPr="002D2AC3" w:rsidRDefault="00B34B8E" w:rsidP="00F579EB">
      <w:pPr>
        <w:spacing w:line="360" w:lineRule="auto"/>
        <w:rPr>
          <w:sz w:val="22"/>
          <w:szCs w:val="22"/>
          <w:lang w:val="en-AU"/>
        </w:rPr>
      </w:pPr>
    </w:p>
    <w:p w14:paraId="4E11B161" w14:textId="77777777" w:rsidR="008349FB" w:rsidRPr="002D2AC3" w:rsidRDefault="008349FB" w:rsidP="00F579EB">
      <w:pPr>
        <w:spacing w:line="360" w:lineRule="auto"/>
        <w:rPr>
          <w:sz w:val="22"/>
          <w:szCs w:val="22"/>
          <w:lang w:val="en-AU"/>
        </w:rPr>
      </w:pPr>
    </w:p>
    <w:p w14:paraId="386343BD" w14:textId="77777777" w:rsidR="008349FB" w:rsidRPr="002D2AC3" w:rsidRDefault="008349FB" w:rsidP="00F579EB">
      <w:pPr>
        <w:spacing w:line="360" w:lineRule="auto"/>
        <w:rPr>
          <w:sz w:val="22"/>
          <w:szCs w:val="22"/>
          <w:lang w:val="en-AU"/>
        </w:rPr>
      </w:pPr>
    </w:p>
    <w:p w14:paraId="532A8B4A" w14:textId="77777777" w:rsidR="008349FB" w:rsidRPr="002D2AC3" w:rsidRDefault="008349FB" w:rsidP="00F579EB">
      <w:pPr>
        <w:spacing w:line="360" w:lineRule="auto"/>
        <w:rPr>
          <w:sz w:val="22"/>
          <w:szCs w:val="22"/>
          <w:lang w:val="en-AU"/>
        </w:rPr>
      </w:pPr>
    </w:p>
    <w:p w14:paraId="222E89B9" w14:textId="77777777" w:rsidR="008349FB" w:rsidRDefault="008349FB" w:rsidP="00F579EB">
      <w:pPr>
        <w:spacing w:line="360" w:lineRule="auto"/>
        <w:rPr>
          <w:sz w:val="22"/>
          <w:szCs w:val="22"/>
          <w:lang w:val="en-AU"/>
        </w:rPr>
      </w:pPr>
    </w:p>
    <w:p w14:paraId="7A8CE8C2" w14:textId="77777777" w:rsidR="00B1154C" w:rsidRDefault="00B1154C" w:rsidP="00F579EB">
      <w:pPr>
        <w:spacing w:line="360" w:lineRule="auto"/>
        <w:rPr>
          <w:sz w:val="22"/>
          <w:szCs w:val="22"/>
          <w:lang w:val="en-AU"/>
        </w:rPr>
      </w:pPr>
    </w:p>
    <w:p w14:paraId="0ACA5882" w14:textId="77777777" w:rsidR="00B1154C" w:rsidRDefault="00B1154C" w:rsidP="00F579EB">
      <w:pPr>
        <w:spacing w:line="360" w:lineRule="auto"/>
        <w:rPr>
          <w:sz w:val="22"/>
          <w:szCs w:val="22"/>
          <w:lang w:val="en-AU"/>
        </w:rPr>
      </w:pPr>
    </w:p>
    <w:p w14:paraId="0FB23AC9" w14:textId="77777777" w:rsidR="00B1154C" w:rsidRPr="002D2AC3" w:rsidRDefault="00B1154C" w:rsidP="00F579EB">
      <w:pPr>
        <w:spacing w:line="360" w:lineRule="auto"/>
        <w:rPr>
          <w:sz w:val="22"/>
          <w:szCs w:val="22"/>
          <w:lang w:val="en-AU"/>
        </w:rPr>
      </w:pPr>
    </w:p>
    <w:p w14:paraId="6E665100" w14:textId="77777777" w:rsidR="008349FB" w:rsidRPr="002D2AC3" w:rsidRDefault="008349FB" w:rsidP="00F579EB">
      <w:pPr>
        <w:spacing w:line="360" w:lineRule="auto"/>
        <w:rPr>
          <w:sz w:val="22"/>
          <w:szCs w:val="22"/>
          <w:lang w:val="en-AU"/>
        </w:rPr>
      </w:pPr>
    </w:p>
    <w:p w14:paraId="5FF06636" w14:textId="77777777" w:rsidR="00F579EB" w:rsidRPr="002D2AC3" w:rsidRDefault="00F579EB" w:rsidP="00F579EB">
      <w:pPr>
        <w:spacing w:line="360" w:lineRule="auto"/>
        <w:rPr>
          <w:sz w:val="22"/>
          <w:szCs w:val="22"/>
          <w:lang w:val="en-AU"/>
        </w:rPr>
      </w:pPr>
    </w:p>
    <w:p w14:paraId="65BAAB61" w14:textId="6D4DD80D" w:rsidR="00340322" w:rsidRPr="002D2AC3" w:rsidRDefault="00F579EB" w:rsidP="00EA22CA">
      <w:pPr>
        <w:rPr>
          <w:sz w:val="22"/>
          <w:szCs w:val="22"/>
          <w:lang w:val="en-AU"/>
        </w:rPr>
      </w:pPr>
      <w:r w:rsidRPr="002D2AC3">
        <w:rPr>
          <w:sz w:val="22"/>
          <w:szCs w:val="22"/>
          <w:lang w:val="en-AU"/>
        </w:rPr>
        <w:lastRenderedPageBreak/>
        <w:t>Reference</w:t>
      </w:r>
      <w:r w:rsidR="00EA22CA">
        <w:rPr>
          <w:sz w:val="22"/>
          <w:szCs w:val="22"/>
          <w:lang w:val="en-AU"/>
        </w:rPr>
        <w:t>s:</w:t>
      </w:r>
      <w:r w:rsidRPr="002D2AC3">
        <w:rPr>
          <w:sz w:val="22"/>
          <w:szCs w:val="22"/>
          <w:lang w:val="en-AU"/>
        </w:rPr>
        <w:t xml:space="preserve"> </w:t>
      </w:r>
    </w:p>
    <w:p w14:paraId="52709F49" w14:textId="65A9EC67" w:rsidR="008349FB" w:rsidRPr="002D2AC3" w:rsidRDefault="008349FB" w:rsidP="00EA22CA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2D2AC3">
        <w:rPr>
          <w:rFonts w:asciiTheme="minorHAnsi" w:hAnsiTheme="minorHAnsi"/>
          <w:color w:val="000000" w:themeColor="text1"/>
          <w:sz w:val="22"/>
          <w:szCs w:val="22"/>
        </w:rPr>
        <w:t>Brunton, R., &amp; Dryer, R. (2021). Child sexual abuse and pregnancy: A systematic review of the literature.</w:t>
      </w:r>
      <w:r w:rsidRPr="002D2AC3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 w:themeColor="text1"/>
          <w:sz w:val="22"/>
          <w:szCs w:val="22"/>
        </w:rPr>
        <w:t>Child Abuse &amp;amp; Neglect</w:t>
      </w:r>
      <w:r w:rsidRPr="002D2AC3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2D2AC3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 w:themeColor="text1"/>
          <w:sz w:val="22"/>
          <w:szCs w:val="22"/>
        </w:rPr>
        <w:t>111</w:t>
      </w:r>
      <w:r w:rsidRPr="002D2AC3">
        <w:rPr>
          <w:rFonts w:asciiTheme="minorHAnsi" w:hAnsiTheme="minorHAnsi"/>
          <w:color w:val="000000" w:themeColor="text1"/>
          <w:sz w:val="22"/>
          <w:szCs w:val="22"/>
        </w:rPr>
        <w:t xml:space="preserve">, 104802. </w:t>
      </w:r>
      <w:hyperlink r:id="rId6" w:history="1">
        <w:r w:rsidR="00EA22CA" w:rsidRPr="0060777F">
          <w:rPr>
            <w:rStyle w:val="Hyperlink"/>
            <w:rFonts w:asciiTheme="minorHAnsi" w:hAnsiTheme="minorHAnsi"/>
            <w:sz w:val="22"/>
            <w:szCs w:val="22"/>
          </w:rPr>
          <w:t>https://doi.org/10.1016/j.chiabu.2020.104802</w:t>
        </w:r>
      </w:hyperlink>
      <w:r w:rsidRPr="002D2AC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0CD4AB3D" w14:textId="3A41A5A8" w:rsidR="00EF4CC3" w:rsidRPr="002D2AC3" w:rsidRDefault="00EF4CC3" w:rsidP="00EA22CA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Güneş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G., &amp;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Karaçam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>, Z. (2017). The feeling of discomfort during vaginal examination, history of abuse and sexual abuse and post-traumatic stress disorder in women.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Journal of Clinical Nursing</w:t>
      </w:r>
      <w:r w:rsidRPr="002D2AC3">
        <w:rPr>
          <w:rFonts w:asciiTheme="minorHAnsi" w:hAnsiTheme="minorHAnsi"/>
          <w:color w:val="000000"/>
          <w:sz w:val="22"/>
          <w:szCs w:val="22"/>
        </w:rPr>
        <w:t>,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26</w:t>
      </w:r>
      <w:r w:rsidRPr="002D2AC3">
        <w:rPr>
          <w:rFonts w:asciiTheme="minorHAnsi" w:hAnsiTheme="minorHAnsi"/>
          <w:color w:val="000000"/>
          <w:sz w:val="22"/>
          <w:szCs w:val="22"/>
        </w:rPr>
        <w:t xml:space="preserve">(15–16), 2362–2371. </w:t>
      </w:r>
      <w:hyperlink r:id="rId7" w:history="1">
        <w:r w:rsidRPr="002D2AC3">
          <w:rPr>
            <w:rStyle w:val="Hyperlink"/>
            <w:rFonts w:asciiTheme="minorHAnsi" w:hAnsiTheme="minorHAnsi"/>
            <w:sz w:val="22"/>
            <w:szCs w:val="22"/>
          </w:rPr>
          <w:t>https://doi.org/10.1111/jocn.13574</w:t>
        </w:r>
      </w:hyperlink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 xml:space="preserve"> </w:t>
      </w:r>
    </w:p>
    <w:p w14:paraId="1F52F1A4" w14:textId="1B5A93DA" w:rsidR="00D14576" w:rsidRPr="002D2AC3" w:rsidRDefault="00D14576" w:rsidP="00EA22CA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/>
          <w:sz w:val="22"/>
          <w:szCs w:val="22"/>
        </w:rPr>
      </w:pPr>
      <w:r w:rsidRPr="002D2AC3">
        <w:rPr>
          <w:rFonts w:asciiTheme="minorHAnsi" w:hAnsiTheme="minorHAnsi"/>
          <w:color w:val="000000"/>
          <w:sz w:val="22"/>
          <w:szCs w:val="22"/>
        </w:rPr>
        <w:t>Gokhale, P., Young, M. R., Williams, M. N., Reid, S. N., Tom, L. S., O'Brian, C. A., &amp; Simon, M. A. (2020). Refining trauma‐informed perinatal care for urban prenatal care patients with multiple lifetime traumatic exposures: A qualitative study.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Journal of Midwifery &amp; Women's Health</w:t>
      </w:r>
      <w:r w:rsidRPr="002D2AC3">
        <w:rPr>
          <w:rFonts w:asciiTheme="minorHAnsi" w:hAnsiTheme="minorHAnsi"/>
          <w:color w:val="000000"/>
          <w:sz w:val="22"/>
          <w:szCs w:val="22"/>
        </w:rPr>
        <w:t>,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65</w:t>
      </w:r>
      <w:r w:rsidRPr="002D2AC3">
        <w:rPr>
          <w:rFonts w:asciiTheme="minorHAnsi" w:hAnsiTheme="minorHAnsi"/>
          <w:color w:val="000000"/>
          <w:sz w:val="22"/>
          <w:szCs w:val="22"/>
        </w:rPr>
        <w:t xml:space="preserve">(2), 224–230. </w:t>
      </w:r>
      <w:hyperlink r:id="rId8" w:history="1">
        <w:r w:rsidR="00EF4CC3" w:rsidRPr="002D2AC3">
          <w:rPr>
            <w:rStyle w:val="Hyperlink"/>
            <w:rFonts w:asciiTheme="minorHAnsi" w:hAnsiTheme="minorHAnsi"/>
            <w:sz w:val="22"/>
            <w:szCs w:val="22"/>
          </w:rPr>
          <w:t>https://doi.org/10.1111/jmwh.13063</w:t>
        </w:r>
      </w:hyperlink>
      <w:r w:rsidR="00EF4CC3"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 xml:space="preserve"> </w:t>
      </w:r>
    </w:p>
    <w:p w14:paraId="4C0CDED8" w14:textId="1EAC05A3" w:rsidR="00D14576" w:rsidRPr="002D2AC3" w:rsidRDefault="00D14576" w:rsidP="00EA22CA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Gisladottir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A.,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Luque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-Fernandez, M. A., Harlow, B. L.,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Gudmundsdottir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B.,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Jonsdottir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E.,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Bjarnadottir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R. I.,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Hauksdottir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A.,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Aspelund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T.,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Cnattingius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S., &amp;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Valdimarsdottir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>, U. A. (2016). Obstetric outcomes of mothers previously exposed to sexual violence.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PLOS ONE</w:t>
      </w:r>
      <w:r w:rsidRPr="002D2AC3">
        <w:rPr>
          <w:rFonts w:asciiTheme="minorHAnsi" w:hAnsiTheme="minorHAnsi"/>
          <w:color w:val="000000"/>
          <w:sz w:val="22"/>
          <w:szCs w:val="22"/>
        </w:rPr>
        <w:t>,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11</w:t>
      </w:r>
      <w:r w:rsidRPr="002D2AC3">
        <w:rPr>
          <w:rFonts w:asciiTheme="minorHAnsi" w:hAnsiTheme="minorHAnsi"/>
          <w:color w:val="000000"/>
          <w:sz w:val="22"/>
          <w:szCs w:val="22"/>
        </w:rPr>
        <w:t xml:space="preserve">(3). </w:t>
      </w:r>
      <w:hyperlink r:id="rId9" w:history="1">
        <w:r w:rsidR="00EF4CC3" w:rsidRPr="002D2AC3">
          <w:rPr>
            <w:rStyle w:val="Hyperlink"/>
            <w:rFonts w:asciiTheme="minorHAnsi" w:hAnsiTheme="minorHAnsi"/>
            <w:sz w:val="22"/>
            <w:szCs w:val="22"/>
          </w:rPr>
          <w:t>https://doi.org/10.1371/journal.pone.0150726</w:t>
        </w:r>
      </w:hyperlink>
      <w:r w:rsidR="00EF4CC3" w:rsidRPr="002D2AC3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4CDDC23" w14:textId="1B945EC2" w:rsidR="00D14576" w:rsidRPr="002D2AC3" w:rsidRDefault="00D14576" w:rsidP="00EA22CA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/>
          <w:sz w:val="22"/>
          <w:szCs w:val="22"/>
        </w:rPr>
      </w:pPr>
      <w:r w:rsidRPr="002D2AC3">
        <w:rPr>
          <w:rFonts w:asciiTheme="minorHAnsi" w:hAnsiTheme="minorHAnsi"/>
          <w:color w:val="000000"/>
          <w:sz w:val="22"/>
          <w:szCs w:val="22"/>
        </w:rPr>
        <w:t xml:space="preserve">Halvorsen, L.,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Nerum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H.,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Øian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P., &amp;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Sørlie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>, T. (2013). Giving birth with rape in one's past: A qualitative study.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Birth</w:t>
      </w:r>
      <w:r w:rsidRPr="002D2AC3">
        <w:rPr>
          <w:rFonts w:asciiTheme="minorHAnsi" w:hAnsiTheme="minorHAnsi"/>
          <w:color w:val="000000"/>
          <w:sz w:val="22"/>
          <w:szCs w:val="22"/>
        </w:rPr>
        <w:t>,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40</w:t>
      </w:r>
      <w:r w:rsidRPr="002D2AC3">
        <w:rPr>
          <w:rFonts w:asciiTheme="minorHAnsi" w:hAnsiTheme="minorHAnsi"/>
          <w:color w:val="000000"/>
          <w:sz w:val="22"/>
          <w:szCs w:val="22"/>
        </w:rPr>
        <w:t xml:space="preserve">(3), 182–191. </w:t>
      </w:r>
      <w:hyperlink r:id="rId10" w:history="1">
        <w:r w:rsidR="00EF4CC3" w:rsidRPr="002D2AC3">
          <w:rPr>
            <w:rStyle w:val="Hyperlink"/>
            <w:rFonts w:asciiTheme="minorHAnsi" w:hAnsiTheme="minorHAnsi"/>
            <w:sz w:val="22"/>
            <w:szCs w:val="22"/>
          </w:rPr>
          <w:t>https://doi.org/10.1111/birt.12054</w:t>
        </w:r>
      </w:hyperlink>
      <w:r w:rsidR="00EF4CC3"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 xml:space="preserve"> </w:t>
      </w:r>
    </w:p>
    <w:p w14:paraId="228F6D13" w14:textId="0E5478B0" w:rsidR="00D14576" w:rsidRPr="002D2AC3" w:rsidRDefault="00D14576" w:rsidP="00EA22CA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/>
          <w:sz w:val="22"/>
          <w:szCs w:val="22"/>
        </w:rPr>
      </w:pPr>
      <w:r w:rsidRPr="002D2AC3">
        <w:rPr>
          <w:rFonts w:asciiTheme="minorHAnsi" w:hAnsiTheme="minorHAnsi"/>
          <w:color w:val="000000"/>
          <w:sz w:val="22"/>
          <w:szCs w:val="22"/>
        </w:rPr>
        <w:t xml:space="preserve">Henriksen, L.,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Schei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B., &amp;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Lukasse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>, M. (2016). Lifetime sexual violence and childbirth expectations – a Norwegian population based Cohort Study.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Midwifery</w:t>
      </w:r>
      <w:r w:rsidRPr="002D2AC3">
        <w:rPr>
          <w:rFonts w:asciiTheme="minorHAnsi" w:hAnsiTheme="minorHAnsi"/>
          <w:color w:val="000000"/>
          <w:sz w:val="22"/>
          <w:szCs w:val="22"/>
        </w:rPr>
        <w:t>,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36</w:t>
      </w:r>
      <w:r w:rsidRPr="002D2AC3">
        <w:rPr>
          <w:rFonts w:asciiTheme="minorHAnsi" w:hAnsiTheme="minorHAnsi"/>
          <w:color w:val="000000"/>
          <w:sz w:val="22"/>
          <w:szCs w:val="22"/>
        </w:rPr>
        <w:t xml:space="preserve">, 14–20. </w:t>
      </w:r>
    </w:p>
    <w:p w14:paraId="73583543" w14:textId="211FDC6C" w:rsidR="00D14576" w:rsidRPr="002D2AC3" w:rsidRDefault="00D14576" w:rsidP="00EA22CA">
      <w:pPr>
        <w:pStyle w:val="NormalWeb"/>
        <w:spacing w:before="0" w:beforeAutospacing="0" w:after="0" w:afterAutospacing="0"/>
        <w:ind w:left="357" w:hanging="357"/>
        <w:rPr>
          <w:rStyle w:val="apple-converted-space"/>
          <w:rFonts w:asciiTheme="minorHAnsi" w:hAnsiTheme="minorHAnsi"/>
          <w:color w:val="000000"/>
          <w:sz w:val="22"/>
          <w:szCs w:val="22"/>
        </w:rPr>
      </w:pP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Jonsdottir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I. V.,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Sigurdardottir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S.,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Halldorsdottir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S., &amp;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Jonsdottir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>, S. S. (2021). ‘we experienced lack of understanding in the healthcare system’. experiences of childhood sexual abuse survivors of the childbearing process, health and Motherhood.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Scandinavian Journal of Caring Sciences</w:t>
      </w:r>
      <w:r w:rsidRPr="002D2AC3">
        <w:rPr>
          <w:rFonts w:asciiTheme="minorHAnsi" w:hAnsiTheme="minorHAnsi"/>
          <w:color w:val="000000"/>
          <w:sz w:val="22"/>
          <w:szCs w:val="22"/>
        </w:rPr>
        <w:t>,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36</w:t>
      </w:r>
      <w:r w:rsidRPr="002D2AC3">
        <w:rPr>
          <w:rFonts w:asciiTheme="minorHAnsi" w:hAnsiTheme="minorHAnsi"/>
          <w:color w:val="000000"/>
          <w:sz w:val="22"/>
          <w:szCs w:val="22"/>
        </w:rPr>
        <w:t xml:space="preserve">(3), 673–685. </w:t>
      </w:r>
      <w:hyperlink r:id="rId11" w:history="1">
        <w:r w:rsidR="00EF4CC3" w:rsidRPr="002D2AC3">
          <w:rPr>
            <w:rStyle w:val="Hyperlink"/>
            <w:rFonts w:asciiTheme="minorHAnsi" w:hAnsiTheme="minorHAnsi"/>
            <w:sz w:val="22"/>
            <w:szCs w:val="22"/>
          </w:rPr>
          <w:t>https://doi.org/10.1111/scs.13024</w:t>
        </w:r>
      </w:hyperlink>
      <w:r w:rsidR="00EF4CC3"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 xml:space="preserve"> </w:t>
      </w:r>
    </w:p>
    <w:p w14:paraId="14513402" w14:textId="765FF3CF" w:rsidR="00D14576" w:rsidRPr="002D2AC3" w:rsidRDefault="00D14576" w:rsidP="00EA22CA">
      <w:pPr>
        <w:pStyle w:val="NormalWeb"/>
        <w:spacing w:before="0" w:beforeAutospacing="0" w:after="0" w:afterAutospacing="0"/>
        <w:ind w:left="357" w:hanging="357"/>
        <w:rPr>
          <w:rStyle w:val="apple-converted-space"/>
          <w:rFonts w:asciiTheme="minorHAnsi" w:hAnsiTheme="minorHAnsi"/>
          <w:color w:val="000000"/>
          <w:sz w:val="22"/>
          <w:szCs w:val="22"/>
        </w:rPr>
      </w:pP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Leeners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B.,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Görres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G., Block, E., &amp;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Hengartner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>, M. P. (2016). Birth experiences in adult women with a history of childhood sexual abuse.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Journal of Psychosomatic Research</w:t>
      </w:r>
      <w:r w:rsidRPr="002D2AC3">
        <w:rPr>
          <w:rFonts w:asciiTheme="minorHAnsi" w:hAnsiTheme="minorHAnsi"/>
          <w:color w:val="000000"/>
          <w:sz w:val="22"/>
          <w:szCs w:val="22"/>
        </w:rPr>
        <w:t>,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83</w:t>
      </w:r>
      <w:r w:rsidRPr="002D2AC3">
        <w:rPr>
          <w:rFonts w:asciiTheme="minorHAnsi" w:hAnsiTheme="minorHAnsi"/>
          <w:color w:val="000000"/>
          <w:sz w:val="22"/>
          <w:szCs w:val="22"/>
        </w:rPr>
        <w:t xml:space="preserve">, 27–32. </w:t>
      </w:r>
      <w:hyperlink r:id="rId12" w:history="1">
        <w:r w:rsidR="00EF4CC3" w:rsidRPr="002D2AC3">
          <w:rPr>
            <w:rStyle w:val="Hyperlink"/>
            <w:rFonts w:asciiTheme="minorHAnsi" w:hAnsiTheme="minorHAnsi"/>
            <w:sz w:val="22"/>
            <w:szCs w:val="22"/>
          </w:rPr>
          <w:t>https://doi.org/10.1016/j.jpsychores.2016.02.006</w:t>
        </w:r>
      </w:hyperlink>
      <w:r w:rsidR="00EF4CC3"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 xml:space="preserve"> </w:t>
      </w:r>
    </w:p>
    <w:p w14:paraId="6526B3A2" w14:textId="20899117" w:rsidR="00340322" w:rsidRPr="002D2AC3" w:rsidRDefault="00340322" w:rsidP="00EA22CA">
      <w:pPr>
        <w:pStyle w:val="NormalWeb"/>
        <w:spacing w:before="0" w:beforeAutospacing="0" w:after="0" w:afterAutospacing="0"/>
        <w:ind w:left="357" w:hanging="357"/>
        <w:rPr>
          <w:rStyle w:val="apple-converted-space"/>
          <w:rFonts w:asciiTheme="minorHAnsi" w:hAnsiTheme="minorHAnsi"/>
          <w:color w:val="000000"/>
          <w:sz w:val="22"/>
          <w:szCs w:val="22"/>
        </w:rPr>
      </w:pPr>
      <w:r w:rsidRPr="002D2AC3">
        <w:rPr>
          <w:rFonts w:asciiTheme="minorHAnsi" w:hAnsiTheme="minorHAnsi"/>
          <w:color w:val="000000"/>
          <w:sz w:val="22"/>
          <w:szCs w:val="22"/>
        </w:rPr>
        <w:t>LoGiudice, J. A., &amp; Beck, C. T. (2016). The lived experience of childbearing from survivors of sexual abuse: “it was the best of times, it was the worst of times.”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Journal of Midwifery &amp;amp; Women’s Health</w:t>
      </w:r>
      <w:r w:rsidRPr="002D2AC3">
        <w:rPr>
          <w:rFonts w:asciiTheme="minorHAnsi" w:hAnsiTheme="minorHAnsi"/>
          <w:color w:val="000000"/>
          <w:sz w:val="22"/>
          <w:szCs w:val="22"/>
        </w:rPr>
        <w:t>,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61</w:t>
      </w:r>
      <w:r w:rsidRPr="002D2AC3">
        <w:rPr>
          <w:rFonts w:asciiTheme="minorHAnsi" w:hAnsiTheme="minorHAnsi"/>
          <w:color w:val="000000"/>
          <w:sz w:val="22"/>
          <w:szCs w:val="22"/>
        </w:rPr>
        <w:t xml:space="preserve">(4), 474–481. </w:t>
      </w:r>
      <w:hyperlink r:id="rId13" w:history="1">
        <w:r w:rsidRPr="002D2AC3">
          <w:rPr>
            <w:rStyle w:val="Hyperlink"/>
            <w:rFonts w:asciiTheme="minorHAnsi" w:hAnsiTheme="minorHAnsi"/>
            <w:sz w:val="22"/>
            <w:szCs w:val="22"/>
          </w:rPr>
          <w:t>https://doi.org/10.1111/jmwh.12421</w:t>
        </w:r>
      </w:hyperlink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 xml:space="preserve"> </w:t>
      </w:r>
    </w:p>
    <w:p w14:paraId="403FE1B7" w14:textId="3E8952CC" w:rsidR="008349FB" w:rsidRPr="002D2AC3" w:rsidRDefault="008349FB" w:rsidP="00EA22CA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2D2AC3">
        <w:rPr>
          <w:rFonts w:asciiTheme="minorHAnsi" w:hAnsiTheme="minorHAnsi"/>
          <w:color w:val="000000" w:themeColor="text1"/>
          <w:sz w:val="22"/>
          <w:szCs w:val="22"/>
        </w:rPr>
        <w:t>LoGiudice, J. A. (2017). A systematic literature review of the childbearing cycle as experienced by survivors of sexual abuse.</w:t>
      </w:r>
      <w:r w:rsidRPr="002D2AC3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 w:themeColor="text1"/>
          <w:sz w:val="22"/>
          <w:szCs w:val="22"/>
        </w:rPr>
        <w:t>Nursing for Women’s Health</w:t>
      </w:r>
      <w:r w:rsidRPr="002D2AC3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2D2AC3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 w:themeColor="text1"/>
          <w:sz w:val="22"/>
          <w:szCs w:val="22"/>
        </w:rPr>
        <w:t>20</w:t>
      </w:r>
      <w:r w:rsidRPr="002D2AC3">
        <w:rPr>
          <w:rFonts w:asciiTheme="minorHAnsi" w:hAnsiTheme="minorHAnsi"/>
          <w:color w:val="000000" w:themeColor="text1"/>
          <w:sz w:val="22"/>
          <w:szCs w:val="22"/>
        </w:rPr>
        <w:t xml:space="preserve">(6), 582–594. </w:t>
      </w:r>
      <w:hyperlink r:id="rId14" w:history="1">
        <w:r w:rsidRPr="002D2AC3">
          <w:rPr>
            <w:rStyle w:val="Hyperlink"/>
            <w:rFonts w:asciiTheme="minorHAnsi" w:hAnsiTheme="minorHAnsi"/>
            <w:sz w:val="22"/>
            <w:szCs w:val="22"/>
          </w:rPr>
          <w:t>https://doi.org/10.1016/j.nwh.2016.10.008</w:t>
        </w:r>
      </w:hyperlink>
    </w:p>
    <w:p w14:paraId="10B407E7" w14:textId="2FA4B19D" w:rsidR="00D14576" w:rsidRPr="002D2AC3" w:rsidRDefault="00D14576" w:rsidP="00EA22CA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Lissmann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R.,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Lokot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M., &amp; Marston, C. (2022). Understanding the lived experience of pregnancy and birth for survivors of rape and sexual assault. </w:t>
      </w:r>
      <w:hyperlink r:id="rId15" w:history="1">
        <w:r w:rsidR="00EF4CC3" w:rsidRPr="002D2AC3">
          <w:rPr>
            <w:rStyle w:val="Hyperlink"/>
            <w:rFonts w:asciiTheme="minorHAnsi" w:hAnsiTheme="minorHAnsi"/>
            <w:sz w:val="22"/>
            <w:szCs w:val="22"/>
          </w:rPr>
          <w:t>https://doi.org/10.21203/rs.3.rs-1904609/v1</w:t>
        </w:r>
      </w:hyperlink>
      <w:r w:rsidR="00EF4CC3"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 xml:space="preserve"> </w:t>
      </w:r>
    </w:p>
    <w:p w14:paraId="659FD460" w14:textId="4C6B2165" w:rsidR="00D14576" w:rsidRPr="002D2AC3" w:rsidRDefault="00D14576" w:rsidP="00EA22CA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/>
          <w:sz w:val="22"/>
          <w:szCs w:val="22"/>
        </w:rPr>
      </w:pPr>
      <w:r w:rsidRPr="002D2AC3">
        <w:rPr>
          <w:rFonts w:asciiTheme="minorHAnsi" w:hAnsiTheme="minorHAnsi"/>
          <w:color w:val="000000"/>
          <w:sz w:val="22"/>
          <w:szCs w:val="22"/>
        </w:rPr>
        <w:t xml:space="preserve">Millar, H. C., Lorber, S.,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Vandermorris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>, A., Thompson, G., Thompson, M., Allen, L., Aggarwal, A., &amp; Spitzer, R. F. (2021). “no, you need to explain what you are doing”: Obstetric care experiences and preferences of adolescent mothers with a history of childhood trauma.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 xml:space="preserve">Journal of </w:t>
      </w:r>
      <w:proofErr w:type="spellStart"/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Pediatric</w:t>
      </w:r>
      <w:proofErr w:type="spellEnd"/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 xml:space="preserve"> and Adolescent </w:t>
      </w:r>
      <w:proofErr w:type="spellStart"/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Gynecology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>,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34</w:t>
      </w:r>
      <w:r w:rsidRPr="002D2AC3">
        <w:rPr>
          <w:rFonts w:asciiTheme="minorHAnsi" w:hAnsiTheme="minorHAnsi"/>
          <w:color w:val="000000"/>
          <w:sz w:val="22"/>
          <w:szCs w:val="22"/>
        </w:rPr>
        <w:t xml:space="preserve">(4), 538–545. </w:t>
      </w:r>
      <w:hyperlink r:id="rId16" w:history="1">
        <w:r w:rsidR="00EF4CC3" w:rsidRPr="002D2AC3">
          <w:rPr>
            <w:rStyle w:val="Hyperlink"/>
            <w:rFonts w:asciiTheme="minorHAnsi" w:hAnsiTheme="minorHAnsi"/>
            <w:sz w:val="22"/>
            <w:szCs w:val="22"/>
          </w:rPr>
          <w:t>https://doi.org/10.1016/j.jpag.2021.01.006</w:t>
        </w:r>
      </w:hyperlink>
      <w:r w:rsidR="00EF4CC3"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 xml:space="preserve"> </w:t>
      </w:r>
    </w:p>
    <w:p w14:paraId="3FA34E34" w14:textId="40FCB55F" w:rsidR="00D14576" w:rsidRPr="002D2AC3" w:rsidRDefault="00D14576" w:rsidP="00EA22CA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/>
          <w:sz w:val="22"/>
          <w:szCs w:val="22"/>
        </w:rPr>
      </w:pPr>
      <w:r w:rsidRPr="002D2AC3">
        <w:rPr>
          <w:rFonts w:asciiTheme="minorHAnsi" w:hAnsiTheme="minorHAnsi"/>
          <w:color w:val="000000"/>
          <w:sz w:val="22"/>
          <w:szCs w:val="22"/>
        </w:rPr>
        <w:t>Montgomery, E., Pope, C., &amp; Rogers, J. (2015). The re-enactment of childhood sexual abuse in maternity care: A qualitative study.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BMC Pregnancy and Childbirth</w:t>
      </w:r>
      <w:r w:rsidRPr="002D2AC3">
        <w:rPr>
          <w:rFonts w:asciiTheme="minorHAnsi" w:hAnsiTheme="minorHAnsi"/>
          <w:color w:val="000000"/>
          <w:sz w:val="22"/>
          <w:szCs w:val="22"/>
        </w:rPr>
        <w:t>,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15</w:t>
      </w:r>
      <w:r w:rsidRPr="002D2AC3">
        <w:rPr>
          <w:rFonts w:asciiTheme="minorHAnsi" w:hAnsiTheme="minorHAnsi"/>
          <w:color w:val="000000"/>
          <w:sz w:val="22"/>
          <w:szCs w:val="22"/>
        </w:rPr>
        <w:t xml:space="preserve">(1). </w:t>
      </w:r>
      <w:hyperlink r:id="rId17" w:history="1">
        <w:r w:rsidR="00EF4CC3" w:rsidRPr="002D2AC3">
          <w:rPr>
            <w:rStyle w:val="Hyperlink"/>
            <w:rFonts w:asciiTheme="minorHAnsi" w:hAnsiTheme="minorHAnsi"/>
            <w:sz w:val="22"/>
            <w:szCs w:val="22"/>
          </w:rPr>
          <w:t>https://doi.org/10.1186/s12884-015-0626-9</w:t>
        </w:r>
      </w:hyperlink>
      <w:r w:rsidR="00EF4CC3"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 xml:space="preserve"> </w:t>
      </w:r>
    </w:p>
    <w:p w14:paraId="331AB479" w14:textId="77777777" w:rsidR="00B1154C" w:rsidRDefault="00D14576" w:rsidP="00EA22CA">
      <w:pPr>
        <w:pStyle w:val="NormalWeb"/>
        <w:spacing w:before="0" w:beforeAutospacing="0" w:after="0" w:afterAutospacing="0"/>
        <w:ind w:left="357" w:hanging="357"/>
        <w:rPr>
          <w:rStyle w:val="apple-converted-space"/>
          <w:rFonts w:asciiTheme="minorHAnsi" w:hAnsiTheme="minorHAnsi"/>
          <w:color w:val="000000"/>
          <w:sz w:val="22"/>
          <w:szCs w:val="22"/>
        </w:rPr>
      </w:pP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Nerum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H., Halvorsen, L.,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Straume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B.,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Sørlie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 xml:space="preserve">, T., &amp; 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Øian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>, P. (2012). Different labour outcomes in primiparous women that have been subjected to childhood sexual abuse or rape in adulthood: A case–control study in a clinical cohort.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BJOG: An International Journal of Obstetrics &amp; Gynaecology</w:t>
      </w:r>
      <w:r w:rsidRPr="002D2AC3">
        <w:rPr>
          <w:rFonts w:asciiTheme="minorHAnsi" w:hAnsiTheme="minorHAnsi"/>
          <w:color w:val="000000"/>
          <w:sz w:val="22"/>
          <w:szCs w:val="22"/>
        </w:rPr>
        <w:t>,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120</w:t>
      </w:r>
      <w:r w:rsidRPr="002D2AC3">
        <w:rPr>
          <w:rFonts w:asciiTheme="minorHAnsi" w:hAnsiTheme="minorHAnsi"/>
          <w:color w:val="000000"/>
          <w:sz w:val="22"/>
          <w:szCs w:val="22"/>
        </w:rPr>
        <w:t xml:space="preserve">(4), 487–495. </w:t>
      </w:r>
      <w:hyperlink r:id="rId18" w:history="1">
        <w:r w:rsidR="00EF4CC3" w:rsidRPr="002D2AC3">
          <w:rPr>
            <w:rStyle w:val="Hyperlink"/>
            <w:rFonts w:asciiTheme="minorHAnsi" w:hAnsiTheme="minorHAnsi"/>
            <w:sz w:val="22"/>
            <w:szCs w:val="22"/>
          </w:rPr>
          <w:t>https://doi.org/10.1111/1471-0528.12053</w:t>
        </w:r>
      </w:hyperlink>
      <w:r w:rsidR="00EF4CC3"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 xml:space="preserve"> </w:t>
      </w:r>
    </w:p>
    <w:p w14:paraId="07201365" w14:textId="228A5F80" w:rsidR="00D14576" w:rsidRPr="002D2AC3" w:rsidRDefault="00D14576" w:rsidP="00EA22CA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/>
          <w:sz w:val="22"/>
          <w:szCs w:val="22"/>
        </w:rPr>
      </w:pPr>
      <w:r w:rsidRPr="002D2AC3">
        <w:rPr>
          <w:rFonts w:asciiTheme="minorHAnsi" w:hAnsiTheme="minorHAnsi"/>
          <w:color w:val="000000"/>
          <w:sz w:val="22"/>
          <w:szCs w:val="22"/>
        </w:rPr>
        <w:t>Sobel, L., O'Rourke-</w:t>
      </w:r>
      <w:proofErr w:type="spellStart"/>
      <w:r w:rsidRPr="002D2AC3">
        <w:rPr>
          <w:rFonts w:asciiTheme="minorHAnsi" w:hAnsiTheme="minorHAnsi"/>
          <w:color w:val="000000"/>
          <w:sz w:val="22"/>
          <w:szCs w:val="22"/>
        </w:rPr>
        <w:t>Suchoff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>, D., Holland, E., Remis, K., Resnick, K., Perkins, R., &amp; Bell, S. (2018). Pregnancy and childbirth after sexual trauma.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 xml:space="preserve">Obstetrics &amp; </w:t>
      </w:r>
      <w:proofErr w:type="spellStart"/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Gynecology</w:t>
      </w:r>
      <w:proofErr w:type="spellEnd"/>
      <w:r w:rsidRPr="002D2AC3">
        <w:rPr>
          <w:rFonts w:asciiTheme="minorHAnsi" w:hAnsiTheme="minorHAnsi"/>
          <w:color w:val="000000"/>
          <w:sz w:val="22"/>
          <w:szCs w:val="22"/>
        </w:rPr>
        <w:t>,</w:t>
      </w:r>
      <w:r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2D2AC3">
        <w:rPr>
          <w:rFonts w:asciiTheme="minorHAnsi" w:hAnsiTheme="minorHAnsi"/>
          <w:i/>
          <w:iCs/>
          <w:color w:val="000000"/>
          <w:sz w:val="22"/>
          <w:szCs w:val="22"/>
        </w:rPr>
        <w:t>132</w:t>
      </w:r>
      <w:r w:rsidRPr="002D2AC3">
        <w:rPr>
          <w:rFonts w:asciiTheme="minorHAnsi" w:hAnsiTheme="minorHAnsi"/>
          <w:color w:val="000000"/>
          <w:sz w:val="22"/>
          <w:szCs w:val="22"/>
        </w:rPr>
        <w:t xml:space="preserve">(6), 1461–1468. </w:t>
      </w:r>
      <w:hyperlink r:id="rId19" w:history="1">
        <w:r w:rsidR="00EF4CC3" w:rsidRPr="002D2AC3">
          <w:rPr>
            <w:rStyle w:val="Hyperlink"/>
            <w:rFonts w:asciiTheme="minorHAnsi" w:hAnsiTheme="minorHAnsi"/>
            <w:sz w:val="22"/>
            <w:szCs w:val="22"/>
          </w:rPr>
          <w:t>https://doi.org/10.1097/aog.0000000000002956</w:t>
        </w:r>
      </w:hyperlink>
      <w:r w:rsidR="00EF4CC3" w:rsidRPr="002D2AC3">
        <w:rPr>
          <w:rStyle w:val="apple-converted-space"/>
          <w:rFonts w:asciiTheme="minorHAnsi" w:hAnsiTheme="minorHAnsi"/>
          <w:color w:val="000000"/>
          <w:sz w:val="22"/>
          <w:szCs w:val="22"/>
        </w:rPr>
        <w:t xml:space="preserve"> </w:t>
      </w:r>
    </w:p>
    <w:p w14:paraId="2FC8D64C" w14:textId="77777777" w:rsidR="00F579EB" w:rsidRPr="002D2AC3" w:rsidRDefault="00F579EB" w:rsidP="00EA22CA">
      <w:pPr>
        <w:ind w:left="357" w:hanging="357"/>
        <w:rPr>
          <w:sz w:val="22"/>
          <w:szCs w:val="22"/>
          <w:lang w:val="en-AU"/>
        </w:rPr>
      </w:pPr>
    </w:p>
    <w:p w14:paraId="099CE426" w14:textId="77777777" w:rsidR="00680351" w:rsidRPr="002D2AC3" w:rsidRDefault="00680351" w:rsidP="00340322">
      <w:pPr>
        <w:rPr>
          <w:sz w:val="22"/>
          <w:szCs w:val="22"/>
          <w:lang w:val="en-AU"/>
        </w:rPr>
      </w:pPr>
    </w:p>
    <w:sectPr w:rsidR="00680351" w:rsidRPr="002D2AC3" w:rsidSect="00F42819">
      <w:headerReference w:type="even" r:id="rId20"/>
      <w:headerReference w:type="default" r:id="rId2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4417" w14:textId="77777777" w:rsidR="00A2353C" w:rsidRDefault="00A2353C" w:rsidP="00F579EB">
      <w:r>
        <w:separator/>
      </w:r>
    </w:p>
  </w:endnote>
  <w:endnote w:type="continuationSeparator" w:id="0">
    <w:p w14:paraId="15B05F4D" w14:textId="77777777" w:rsidR="00A2353C" w:rsidRDefault="00A2353C" w:rsidP="00F5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7D58" w14:textId="77777777" w:rsidR="00A2353C" w:rsidRDefault="00A2353C" w:rsidP="00F579EB">
      <w:r>
        <w:separator/>
      </w:r>
    </w:p>
  </w:footnote>
  <w:footnote w:type="continuationSeparator" w:id="0">
    <w:p w14:paraId="39732715" w14:textId="77777777" w:rsidR="00A2353C" w:rsidRDefault="00A2353C" w:rsidP="00F5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5A22" w14:textId="77777777" w:rsidR="00F579EB" w:rsidRDefault="00F579EB" w:rsidP="008D6E0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A639F7" w14:textId="77777777" w:rsidR="00F579EB" w:rsidRDefault="00F579EB" w:rsidP="00F579E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9474" w14:textId="77777777" w:rsidR="00F579EB" w:rsidRDefault="00F579EB" w:rsidP="008D6E0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154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05F487" w14:textId="77777777" w:rsidR="00F579EB" w:rsidRDefault="00F579EB" w:rsidP="00F579E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43"/>
    <w:rsid w:val="002D2AC3"/>
    <w:rsid w:val="00340322"/>
    <w:rsid w:val="00680351"/>
    <w:rsid w:val="00814E99"/>
    <w:rsid w:val="00831143"/>
    <w:rsid w:val="008349FB"/>
    <w:rsid w:val="0088596E"/>
    <w:rsid w:val="009A274D"/>
    <w:rsid w:val="00A2353C"/>
    <w:rsid w:val="00AF3615"/>
    <w:rsid w:val="00B1154C"/>
    <w:rsid w:val="00B34B8E"/>
    <w:rsid w:val="00B847E0"/>
    <w:rsid w:val="00B93951"/>
    <w:rsid w:val="00BF7F58"/>
    <w:rsid w:val="00C010AA"/>
    <w:rsid w:val="00C31330"/>
    <w:rsid w:val="00C31618"/>
    <w:rsid w:val="00C36443"/>
    <w:rsid w:val="00D14576"/>
    <w:rsid w:val="00E150A1"/>
    <w:rsid w:val="00E33F53"/>
    <w:rsid w:val="00EA22CA"/>
    <w:rsid w:val="00EF4CC3"/>
    <w:rsid w:val="00F42819"/>
    <w:rsid w:val="00F5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3C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79E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114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p1">
    <w:name w:val="p1"/>
    <w:basedOn w:val="Normal"/>
    <w:rsid w:val="00831143"/>
    <w:rPr>
      <w:rFonts w:ascii="Helvetica Neue" w:hAnsi="Helvetica Neue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579EB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7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9EB"/>
  </w:style>
  <w:style w:type="paragraph" w:styleId="Footer">
    <w:name w:val="footer"/>
    <w:basedOn w:val="Normal"/>
    <w:link w:val="FooterChar"/>
    <w:uiPriority w:val="99"/>
    <w:unhideWhenUsed/>
    <w:rsid w:val="00F57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9EB"/>
  </w:style>
  <w:style w:type="character" w:styleId="PageNumber">
    <w:name w:val="page number"/>
    <w:basedOn w:val="DefaultParagraphFont"/>
    <w:uiPriority w:val="99"/>
    <w:semiHidden/>
    <w:unhideWhenUsed/>
    <w:rsid w:val="00F579EB"/>
  </w:style>
  <w:style w:type="character" w:customStyle="1" w:styleId="apple-converted-space">
    <w:name w:val="apple-converted-space"/>
    <w:basedOn w:val="DefaultParagraphFont"/>
    <w:rsid w:val="00D14576"/>
  </w:style>
  <w:style w:type="character" w:styleId="Hyperlink">
    <w:name w:val="Hyperlink"/>
    <w:basedOn w:val="DefaultParagraphFont"/>
    <w:uiPriority w:val="99"/>
    <w:unhideWhenUsed/>
    <w:rsid w:val="00EF4C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0351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1618"/>
  </w:style>
  <w:style w:type="character" w:styleId="CommentReference">
    <w:name w:val="annotation reference"/>
    <w:basedOn w:val="DefaultParagraphFont"/>
    <w:uiPriority w:val="99"/>
    <w:semiHidden/>
    <w:unhideWhenUsed/>
    <w:rsid w:val="00BF7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F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9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9FB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154C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154C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EA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mwh.13063" TargetMode="External"/><Relationship Id="rId13" Type="http://schemas.openxmlformats.org/officeDocument/2006/relationships/hyperlink" Target="https://doi.org/10.1111/jmwh.12421" TargetMode="External"/><Relationship Id="rId18" Type="http://schemas.openxmlformats.org/officeDocument/2006/relationships/hyperlink" Target="https://doi.org/10.1111/1471-0528.12053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doi.org/10.1111/jocn.13574" TargetMode="External"/><Relationship Id="rId12" Type="http://schemas.openxmlformats.org/officeDocument/2006/relationships/hyperlink" Target="https://doi.org/10.1016/j.jpsychores.2016.02.006" TargetMode="External"/><Relationship Id="rId17" Type="http://schemas.openxmlformats.org/officeDocument/2006/relationships/hyperlink" Target="https://doi.org/10.1186/s12884-015-0626-9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doi.org/10.1016/j.jpag.2021.01.006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doi.org/10.1016/j.chiabu.2020.104802" TargetMode="External"/><Relationship Id="rId11" Type="http://schemas.openxmlformats.org/officeDocument/2006/relationships/hyperlink" Target="https://doi.org/10.1111/scs.13024" TargetMode="External"/><Relationship Id="rId24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hyperlink" Target="https://doi.org/10.21203/rs.3.rs-1904609/v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111/birt.12054" TargetMode="External"/><Relationship Id="rId19" Type="http://schemas.openxmlformats.org/officeDocument/2006/relationships/hyperlink" Target="https://doi.org/10.1097/aog.000000000000295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371/journal.pone.0150726" TargetMode="External"/><Relationship Id="rId14" Type="http://schemas.openxmlformats.org/officeDocument/2006/relationships/hyperlink" Target="https://doi.org/10.1016/j.nwh.2016.10.0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EC9853FEED438B8774253D38AEA0" ma:contentTypeVersion="16" ma:contentTypeDescription="Create a new document." ma:contentTypeScope="" ma:versionID="fb359fa3da0241762fea3fda3914d50b">
  <xsd:schema xmlns:xsd="http://www.w3.org/2001/XMLSchema" xmlns:xs="http://www.w3.org/2001/XMLSchema" xmlns:p="http://schemas.microsoft.com/office/2006/metadata/properties" xmlns:ns2="dcd9a016-b44f-4930-82c1-5cbadada6b38" xmlns:ns3="a1c7c5d5-5171-4684-8fa5-b0a1f8de44fe" targetNamespace="http://schemas.microsoft.com/office/2006/metadata/properties" ma:root="true" ma:fieldsID="5c27852116bda8deebf3e4f3bd63c66a" ns2:_="" ns3:_="">
    <xsd:import namespace="dcd9a016-b44f-4930-82c1-5cbadada6b38"/>
    <xsd:import namespace="a1c7c5d5-5171-4684-8fa5-b0a1f8de4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a016-b44f-4930-82c1-5cbadada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c5d5-5171-4684-8fa5-b0a1f8de4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d32355-3a6f-4619-96a1-bed4e4853400}" ma:internalName="TaxCatchAll" ma:showField="CatchAllData" ma:web="a1c7c5d5-5171-4684-8fa5-b0a1f8de4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7c5d5-5171-4684-8fa5-b0a1f8de44fe" xsi:nil="true"/>
    <lcf76f155ced4ddcb4097134ff3c332f xmlns="dcd9a016-b44f-4930-82c1-5cbadada6b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6F5D24-C109-4C1B-8B13-F5A2526D2C9F}"/>
</file>

<file path=customXml/itemProps2.xml><?xml version="1.0" encoding="utf-8"?>
<ds:datastoreItem xmlns:ds="http://schemas.openxmlformats.org/officeDocument/2006/customXml" ds:itemID="{BADFCC8A-30B6-4677-861E-176C2942D63C}"/>
</file>

<file path=customXml/itemProps3.xml><?xml version="1.0" encoding="utf-8"?>
<ds:datastoreItem xmlns:ds="http://schemas.openxmlformats.org/officeDocument/2006/customXml" ds:itemID="{F8B566F1-BA03-47C1-8428-B8209B53D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Canberra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Beaumont</dc:creator>
  <cp:keywords/>
  <dc:description/>
  <cp:lastModifiedBy>Marjorie.Atchan</cp:lastModifiedBy>
  <cp:revision>10</cp:revision>
  <dcterms:created xsi:type="dcterms:W3CDTF">2023-08-14T04:54:00Z</dcterms:created>
  <dcterms:modified xsi:type="dcterms:W3CDTF">2023-09-22T05:20:00Z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2023-08-15T07:59:34Z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89c0a826-92df-4f4b-b6cb-d1556fe13636</vt:lpwstr>
  </property>
  <property fmtid="{D5CDD505-2E9C-101B-9397-08002B2CF9AE}" pid="8" name="MSIP_Label_bf6fef03-d487-4433-8e43-6b81c0a1b7be_ContentBits">
    <vt:lpwstr>0</vt:lpwstr>
  </property>
  <property fmtid="{D5CDD505-2E9C-101B-9397-08002B2CF9AE}" pid="9" name="ContentTypeId">
    <vt:lpwstr>0x0101008906EC9853FEED438B8774253D38AEA0</vt:lpwstr>
  </property>
</Properties>
</file>