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E265C1" w14:textId="654AB2E2" w:rsidR="00664400" w:rsidRPr="00507FE1" w:rsidRDefault="00664400" w:rsidP="003D1AAF">
      <w:pPr>
        <w:spacing w:line="360" w:lineRule="auto"/>
        <w:rPr>
          <w:rFonts w:ascii="Calibri" w:eastAsia="Times New Roman" w:hAnsi="Calibri" w:cs="Calibri"/>
          <w:b/>
          <w:bCs/>
          <w:color w:val="000000"/>
          <w:kern w:val="0"/>
          <w:sz w:val="22"/>
          <w:szCs w:val="22"/>
          <w:lang w:eastAsia="en-GB"/>
          <w14:ligatures w14:val="none"/>
        </w:rPr>
      </w:pPr>
      <w:r w:rsidRPr="00507FE1">
        <w:rPr>
          <w:rFonts w:ascii="Calibri" w:eastAsia="Times New Roman" w:hAnsi="Calibri" w:cs="Calibri"/>
          <w:b/>
          <w:bCs/>
          <w:color w:val="000000"/>
          <w:kern w:val="0"/>
          <w:sz w:val="22"/>
          <w:szCs w:val="22"/>
          <w:lang w:eastAsia="en-GB"/>
          <w14:ligatures w14:val="none"/>
        </w:rPr>
        <w:t>Erin Griffin-Danby u3211854</w:t>
      </w:r>
    </w:p>
    <w:p w14:paraId="696BF1E3" w14:textId="10D48727" w:rsidR="00664400" w:rsidRPr="00507FE1" w:rsidRDefault="00664400" w:rsidP="003D1AAF">
      <w:pPr>
        <w:spacing w:line="360" w:lineRule="auto"/>
        <w:jc w:val="center"/>
        <w:rPr>
          <w:rFonts w:ascii="Calibri" w:eastAsia="Times New Roman" w:hAnsi="Calibri" w:cs="Calibri"/>
          <w:b/>
          <w:bCs/>
          <w:color w:val="000000"/>
          <w:kern w:val="0"/>
          <w:sz w:val="22"/>
          <w:szCs w:val="22"/>
          <w:lang w:eastAsia="en-GB"/>
          <w14:ligatures w14:val="none"/>
        </w:rPr>
      </w:pPr>
      <w:r w:rsidRPr="00507FE1">
        <w:rPr>
          <w:rFonts w:ascii="Calibri" w:eastAsia="Times New Roman" w:hAnsi="Calibri" w:cs="Calibri"/>
          <w:b/>
          <w:bCs/>
          <w:color w:val="000000"/>
          <w:kern w:val="0"/>
          <w:sz w:val="22"/>
          <w:szCs w:val="22"/>
          <w:lang w:eastAsia="en-GB"/>
          <w14:ligatures w14:val="none"/>
        </w:rPr>
        <w:t xml:space="preserve">Midwife </w:t>
      </w:r>
      <w:r w:rsidR="00664B15">
        <w:rPr>
          <w:rFonts w:ascii="Calibri" w:eastAsia="Times New Roman" w:hAnsi="Calibri" w:cs="Calibri"/>
          <w:b/>
          <w:bCs/>
          <w:color w:val="000000"/>
          <w:kern w:val="0"/>
          <w:sz w:val="22"/>
          <w:szCs w:val="22"/>
          <w:lang w:eastAsia="en-GB"/>
          <w14:ligatures w14:val="none"/>
        </w:rPr>
        <w:t>B</w:t>
      </w:r>
      <w:r w:rsidRPr="00507FE1">
        <w:rPr>
          <w:rFonts w:ascii="Calibri" w:eastAsia="Times New Roman" w:hAnsi="Calibri" w:cs="Calibri"/>
          <w:b/>
          <w:bCs/>
          <w:color w:val="000000"/>
          <w:kern w:val="0"/>
          <w:sz w:val="22"/>
          <w:szCs w:val="22"/>
          <w:lang w:eastAsia="en-GB"/>
          <w14:ligatures w14:val="none"/>
        </w:rPr>
        <w:t xml:space="preserve">urnout: </w:t>
      </w:r>
      <w:r w:rsidR="00664B15">
        <w:rPr>
          <w:rFonts w:ascii="Calibri" w:eastAsia="Times New Roman" w:hAnsi="Calibri" w:cs="Calibri"/>
          <w:b/>
          <w:bCs/>
          <w:color w:val="000000"/>
          <w:kern w:val="0"/>
          <w:sz w:val="22"/>
          <w:szCs w:val="22"/>
          <w:lang w:eastAsia="en-GB"/>
          <w14:ligatures w14:val="none"/>
        </w:rPr>
        <w:t>Safeguarding Sleep</w:t>
      </w:r>
      <w:r w:rsidRPr="00507FE1">
        <w:rPr>
          <w:rFonts w:ascii="Calibri" w:eastAsia="Times New Roman" w:hAnsi="Calibri" w:cs="Calibri"/>
          <w:b/>
          <w:bCs/>
          <w:color w:val="000000"/>
          <w:kern w:val="0"/>
          <w:sz w:val="22"/>
          <w:szCs w:val="22"/>
          <w:lang w:eastAsia="en-GB"/>
          <w14:ligatures w14:val="none"/>
        </w:rPr>
        <w:t xml:space="preserve"> </w:t>
      </w:r>
      <w:r w:rsidR="00664B15">
        <w:rPr>
          <w:rFonts w:ascii="Calibri" w:eastAsia="Times New Roman" w:hAnsi="Calibri" w:cs="Calibri"/>
          <w:b/>
          <w:bCs/>
          <w:color w:val="000000"/>
          <w:kern w:val="0"/>
          <w:sz w:val="22"/>
          <w:szCs w:val="22"/>
          <w:lang w:eastAsia="en-GB"/>
          <w14:ligatures w14:val="none"/>
        </w:rPr>
        <w:t>H</w:t>
      </w:r>
      <w:r w:rsidRPr="00507FE1">
        <w:rPr>
          <w:rFonts w:ascii="Calibri" w:eastAsia="Times New Roman" w:hAnsi="Calibri" w:cs="Calibri"/>
          <w:b/>
          <w:bCs/>
          <w:color w:val="000000"/>
          <w:kern w:val="0"/>
          <w:sz w:val="22"/>
          <w:szCs w:val="22"/>
          <w:lang w:eastAsia="en-GB"/>
          <w14:ligatures w14:val="none"/>
        </w:rPr>
        <w:t xml:space="preserve">ealth </w:t>
      </w:r>
      <w:r w:rsidR="00664B15">
        <w:rPr>
          <w:rFonts w:ascii="Calibri" w:eastAsia="Times New Roman" w:hAnsi="Calibri" w:cs="Calibri"/>
          <w:b/>
          <w:bCs/>
          <w:color w:val="000000"/>
          <w:kern w:val="0"/>
          <w:sz w:val="22"/>
          <w:szCs w:val="22"/>
          <w:lang w:eastAsia="en-GB"/>
          <w14:ligatures w14:val="none"/>
        </w:rPr>
        <w:t>Through</w:t>
      </w:r>
      <w:r w:rsidRPr="00507FE1">
        <w:rPr>
          <w:rFonts w:ascii="Calibri" w:eastAsia="Times New Roman" w:hAnsi="Calibri" w:cs="Calibri"/>
          <w:b/>
          <w:bCs/>
          <w:color w:val="000000"/>
          <w:kern w:val="0"/>
          <w:sz w:val="22"/>
          <w:szCs w:val="22"/>
          <w:lang w:eastAsia="en-GB"/>
          <w14:ligatures w14:val="none"/>
        </w:rPr>
        <w:t xml:space="preserve"> </w:t>
      </w:r>
      <w:r w:rsidR="00664B15">
        <w:rPr>
          <w:rFonts w:ascii="Calibri" w:eastAsia="Times New Roman" w:hAnsi="Calibri" w:cs="Calibri"/>
          <w:b/>
          <w:bCs/>
          <w:color w:val="000000"/>
          <w:kern w:val="0"/>
          <w:sz w:val="22"/>
          <w:szCs w:val="22"/>
          <w:lang w:eastAsia="en-GB"/>
          <w14:ligatures w14:val="none"/>
        </w:rPr>
        <w:t>F</w:t>
      </w:r>
      <w:r w:rsidRPr="00507FE1">
        <w:rPr>
          <w:rFonts w:ascii="Calibri" w:eastAsia="Times New Roman" w:hAnsi="Calibri" w:cs="Calibri"/>
          <w:b/>
          <w:bCs/>
          <w:color w:val="000000"/>
          <w:kern w:val="0"/>
          <w:sz w:val="22"/>
          <w:szCs w:val="22"/>
          <w:lang w:eastAsia="en-GB"/>
          <w14:ligatures w14:val="none"/>
        </w:rPr>
        <w:t>atigue</w:t>
      </w:r>
      <w:r w:rsidR="0050671E" w:rsidRPr="00507FE1">
        <w:rPr>
          <w:rFonts w:ascii="Calibri" w:eastAsia="Times New Roman" w:hAnsi="Calibri" w:cs="Calibri"/>
          <w:b/>
          <w:bCs/>
          <w:color w:val="000000"/>
          <w:kern w:val="0"/>
          <w:sz w:val="22"/>
          <w:szCs w:val="22"/>
          <w:lang w:eastAsia="en-GB"/>
          <w14:ligatures w14:val="none"/>
        </w:rPr>
        <w:t xml:space="preserve"> </w:t>
      </w:r>
      <w:r w:rsidR="00664B15">
        <w:rPr>
          <w:rFonts w:ascii="Calibri" w:eastAsia="Times New Roman" w:hAnsi="Calibri" w:cs="Calibri"/>
          <w:b/>
          <w:bCs/>
          <w:color w:val="000000"/>
          <w:kern w:val="0"/>
          <w:sz w:val="22"/>
          <w:szCs w:val="22"/>
          <w:lang w:eastAsia="en-GB"/>
          <w14:ligatures w14:val="none"/>
        </w:rPr>
        <w:t>R</w:t>
      </w:r>
      <w:r w:rsidRPr="00507FE1">
        <w:rPr>
          <w:rFonts w:ascii="Calibri" w:eastAsia="Times New Roman" w:hAnsi="Calibri" w:cs="Calibri"/>
          <w:b/>
          <w:bCs/>
          <w:color w:val="000000"/>
          <w:kern w:val="0"/>
          <w:sz w:val="22"/>
          <w:szCs w:val="22"/>
          <w:lang w:eastAsia="en-GB"/>
          <w14:ligatures w14:val="none"/>
        </w:rPr>
        <w:t>isk</w:t>
      </w:r>
      <w:r w:rsidR="0050671E" w:rsidRPr="00507FE1">
        <w:rPr>
          <w:rFonts w:ascii="Calibri" w:eastAsia="Times New Roman" w:hAnsi="Calibri" w:cs="Calibri"/>
          <w:b/>
          <w:bCs/>
          <w:color w:val="000000"/>
          <w:kern w:val="0"/>
          <w:sz w:val="22"/>
          <w:szCs w:val="22"/>
          <w:lang w:eastAsia="en-GB"/>
          <w14:ligatures w14:val="none"/>
        </w:rPr>
        <w:t>-</w:t>
      </w:r>
      <w:r w:rsidR="00664B15">
        <w:rPr>
          <w:rFonts w:ascii="Calibri" w:eastAsia="Times New Roman" w:hAnsi="Calibri" w:cs="Calibri"/>
          <w:b/>
          <w:bCs/>
          <w:color w:val="000000"/>
          <w:kern w:val="0"/>
          <w:sz w:val="22"/>
          <w:szCs w:val="22"/>
          <w:lang w:eastAsia="en-GB"/>
          <w14:ligatures w14:val="none"/>
        </w:rPr>
        <w:t>M</w:t>
      </w:r>
      <w:r w:rsidRPr="00507FE1">
        <w:rPr>
          <w:rFonts w:ascii="Calibri" w:eastAsia="Times New Roman" w:hAnsi="Calibri" w:cs="Calibri"/>
          <w:b/>
          <w:bCs/>
          <w:color w:val="000000"/>
          <w:kern w:val="0"/>
          <w:sz w:val="22"/>
          <w:szCs w:val="22"/>
          <w:lang w:eastAsia="en-GB"/>
          <w14:ligatures w14:val="none"/>
        </w:rPr>
        <w:t>anagement</w:t>
      </w:r>
      <w:r w:rsidR="00A16724">
        <w:rPr>
          <w:rFonts w:ascii="Calibri" w:eastAsia="Times New Roman" w:hAnsi="Calibri" w:cs="Calibri"/>
          <w:b/>
          <w:bCs/>
          <w:color w:val="000000"/>
          <w:kern w:val="0"/>
          <w:sz w:val="22"/>
          <w:szCs w:val="22"/>
          <w:lang w:eastAsia="en-GB"/>
          <w14:ligatures w14:val="none"/>
        </w:rPr>
        <w:t xml:space="preserve"> </w:t>
      </w:r>
      <w:r w:rsidR="00664B15">
        <w:rPr>
          <w:rFonts w:ascii="Calibri" w:eastAsia="Times New Roman" w:hAnsi="Calibri" w:cs="Calibri"/>
          <w:b/>
          <w:bCs/>
          <w:color w:val="000000"/>
          <w:kern w:val="0"/>
          <w:sz w:val="22"/>
          <w:szCs w:val="22"/>
          <w:lang w:eastAsia="en-GB"/>
          <w14:ligatures w14:val="none"/>
        </w:rPr>
        <w:t>R</w:t>
      </w:r>
      <w:r w:rsidR="00A16724">
        <w:rPr>
          <w:rFonts w:ascii="Calibri" w:eastAsia="Times New Roman" w:hAnsi="Calibri" w:cs="Calibri"/>
          <w:b/>
          <w:bCs/>
          <w:color w:val="000000"/>
          <w:kern w:val="0"/>
          <w:sz w:val="22"/>
          <w:szCs w:val="22"/>
          <w:lang w:eastAsia="en-GB"/>
          <w14:ligatures w14:val="none"/>
        </w:rPr>
        <w:t>ostering</w:t>
      </w:r>
      <w:r w:rsidR="002F7D3B">
        <w:rPr>
          <w:rFonts w:ascii="Calibri" w:eastAsia="Times New Roman" w:hAnsi="Calibri" w:cs="Calibri"/>
          <w:b/>
          <w:bCs/>
          <w:color w:val="000000"/>
          <w:kern w:val="0"/>
          <w:sz w:val="22"/>
          <w:szCs w:val="22"/>
          <w:lang w:eastAsia="en-GB"/>
          <w14:ligatures w14:val="none"/>
        </w:rPr>
        <w:t xml:space="preserve"> </w:t>
      </w:r>
    </w:p>
    <w:p w14:paraId="38613765" w14:textId="669864D6" w:rsidR="00A355C2" w:rsidRPr="00A355C2" w:rsidRDefault="00A355C2" w:rsidP="004C7F80">
      <w:pPr>
        <w:spacing w:line="360" w:lineRule="auto"/>
        <w:ind w:firstLine="720"/>
        <w:rPr>
          <w:rFonts w:ascii="Calibri" w:eastAsia="Times New Roman" w:hAnsi="Calibri" w:cs="Calibri"/>
          <w:kern w:val="0"/>
          <w:lang w:eastAsia="en-GB"/>
          <w14:ligatures w14:val="none"/>
        </w:rPr>
      </w:pPr>
      <w:r w:rsidRPr="00A355C2">
        <w:rPr>
          <w:rFonts w:ascii="Calibri" w:eastAsia="Times New Roman" w:hAnsi="Calibri" w:cs="Calibri"/>
          <w:color w:val="000000"/>
          <w:kern w:val="0"/>
          <w:sz w:val="22"/>
          <w:szCs w:val="22"/>
          <w:lang w:eastAsia="en-GB"/>
          <w14:ligatures w14:val="none"/>
        </w:rPr>
        <w:t xml:space="preserve">Midwife burnout is a global concern, affecting midwives, birthing people, families, and healthcare systems. It leads to poor staff retention, increased workloads, and reduced wellbeing, </w:t>
      </w:r>
      <w:r w:rsidR="00072486">
        <w:rPr>
          <w:rFonts w:ascii="Calibri" w:eastAsia="Times New Roman" w:hAnsi="Calibri" w:cs="Calibri"/>
          <w:color w:val="000000"/>
          <w:kern w:val="0"/>
          <w:sz w:val="22"/>
          <w:szCs w:val="22"/>
          <w:lang w:eastAsia="en-GB"/>
          <w14:ligatures w14:val="none"/>
        </w:rPr>
        <w:t xml:space="preserve">ultimately </w:t>
      </w:r>
      <w:r w:rsidRPr="00A355C2">
        <w:rPr>
          <w:rFonts w:ascii="Calibri" w:eastAsia="Times New Roman" w:hAnsi="Calibri" w:cs="Calibri"/>
          <w:color w:val="000000"/>
          <w:kern w:val="0"/>
          <w:sz w:val="22"/>
          <w:szCs w:val="22"/>
          <w:lang w:eastAsia="en-GB"/>
          <w14:ligatures w14:val="none"/>
        </w:rPr>
        <w:t xml:space="preserve">negatively impacting care and experiences for pregnant and birthing people. Myriad (often cyclical) determinants of burnout exist. Staff shortages and shiftwork are significant contributors. Current rostering recommendations and guidelines are often unfeasible due to </w:t>
      </w:r>
      <w:r w:rsidR="00D97B34">
        <w:rPr>
          <w:rFonts w:ascii="Calibri" w:eastAsia="Times New Roman" w:hAnsi="Calibri" w:cs="Calibri"/>
          <w:color w:val="000000"/>
          <w:kern w:val="0"/>
          <w:sz w:val="22"/>
          <w:szCs w:val="22"/>
          <w:lang w:eastAsia="en-GB"/>
          <w14:ligatures w14:val="none"/>
        </w:rPr>
        <w:t>understaffing</w:t>
      </w:r>
      <w:r w:rsidRPr="00A355C2">
        <w:rPr>
          <w:rFonts w:ascii="Calibri" w:eastAsia="Times New Roman" w:hAnsi="Calibri" w:cs="Calibri"/>
          <w:color w:val="000000"/>
          <w:kern w:val="0"/>
          <w:sz w:val="22"/>
          <w:szCs w:val="22"/>
          <w:lang w:eastAsia="en-GB"/>
          <w14:ligatures w14:val="none"/>
        </w:rPr>
        <w:t>. </w:t>
      </w:r>
    </w:p>
    <w:p w14:paraId="2C263AB0" w14:textId="5DF81E43" w:rsidR="00A355C2" w:rsidRPr="00A355C2" w:rsidRDefault="00A355C2" w:rsidP="004C7F80">
      <w:pPr>
        <w:spacing w:line="360" w:lineRule="auto"/>
        <w:ind w:firstLine="720"/>
        <w:rPr>
          <w:rFonts w:ascii="Calibri" w:eastAsia="Times New Roman" w:hAnsi="Calibri" w:cs="Calibri"/>
          <w:kern w:val="0"/>
          <w:lang w:eastAsia="en-GB"/>
          <w14:ligatures w14:val="none"/>
        </w:rPr>
      </w:pPr>
      <w:r w:rsidRPr="00507FE1">
        <w:rPr>
          <w:rFonts w:ascii="Calibri" w:eastAsia="Times New Roman" w:hAnsi="Calibri" w:cs="Calibri"/>
          <w:color w:val="000000"/>
          <w:kern w:val="0"/>
          <w:sz w:val="22"/>
          <w:szCs w:val="22"/>
          <w:lang w:eastAsia="en-GB"/>
          <w14:ligatures w14:val="none"/>
        </w:rPr>
        <w:t>Research</w:t>
      </w:r>
      <w:r w:rsidRPr="00A355C2">
        <w:rPr>
          <w:rFonts w:ascii="Calibri" w:eastAsia="Times New Roman" w:hAnsi="Calibri" w:cs="Calibri"/>
          <w:color w:val="000000"/>
          <w:kern w:val="0"/>
          <w:sz w:val="22"/>
          <w:szCs w:val="22"/>
          <w:lang w:eastAsia="en-GB"/>
          <w14:ligatures w14:val="none"/>
        </w:rPr>
        <w:t xml:space="preserve"> in other shiftwork industries show fatigue</w:t>
      </w:r>
      <w:r w:rsidR="0050671E" w:rsidRPr="00507FE1">
        <w:rPr>
          <w:rFonts w:ascii="Calibri" w:eastAsia="Times New Roman" w:hAnsi="Calibri" w:cs="Calibri"/>
          <w:color w:val="000000"/>
          <w:kern w:val="0"/>
          <w:sz w:val="22"/>
          <w:szCs w:val="22"/>
          <w:lang w:eastAsia="en-GB"/>
          <w14:ligatures w14:val="none"/>
        </w:rPr>
        <w:t xml:space="preserve"> </w:t>
      </w:r>
      <w:r w:rsidRPr="00A355C2">
        <w:rPr>
          <w:rFonts w:ascii="Calibri" w:eastAsia="Times New Roman" w:hAnsi="Calibri" w:cs="Calibri"/>
          <w:color w:val="000000"/>
          <w:kern w:val="0"/>
          <w:sz w:val="22"/>
          <w:szCs w:val="22"/>
          <w:lang w:eastAsia="en-GB"/>
          <w14:ligatures w14:val="none"/>
        </w:rPr>
        <w:t>risk</w:t>
      </w:r>
      <w:r w:rsidR="0050671E" w:rsidRPr="00507FE1">
        <w:rPr>
          <w:rFonts w:ascii="Calibri" w:eastAsia="Times New Roman" w:hAnsi="Calibri" w:cs="Calibri"/>
          <w:color w:val="000000"/>
          <w:kern w:val="0"/>
          <w:sz w:val="22"/>
          <w:szCs w:val="22"/>
          <w:lang w:eastAsia="en-GB"/>
          <w14:ligatures w14:val="none"/>
        </w:rPr>
        <w:t>-</w:t>
      </w:r>
      <w:r w:rsidRPr="00A355C2">
        <w:rPr>
          <w:rFonts w:ascii="Calibri" w:eastAsia="Times New Roman" w:hAnsi="Calibri" w:cs="Calibri"/>
          <w:color w:val="000000"/>
          <w:kern w:val="0"/>
          <w:sz w:val="22"/>
          <w:szCs w:val="22"/>
          <w:lang w:eastAsia="en-GB"/>
          <w14:ligatures w14:val="none"/>
        </w:rPr>
        <w:t>management (FRM) rostering prioritising sleep health reduces burnout levels. A gap exists in the literature on burnout solutions for midwives</w:t>
      </w:r>
      <w:r w:rsidR="003E5D3B">
        <w:rPr>
          <w:rFonts w:ascii="Calibri" w:eastAsia="Times New Roman" w:hAnsi="Calibri" w:cs="Calibri"/>
          <w:color w:val="000000"/>
          <w:kern w:val="0"/>
          <w:sz w:val="22"/>
          <w:szCs w:val="22"/>
          <w:lang w:eastAsia="en-GB"/>
          <w14:ligatures w14:val="none"/>
        </w:rPr>
        <w:t>,</w:t>
      </w:r>
      <w:r w:rsidR="007913DE">
        <w:rPr>
          <w:rFonts w:ascii="Calibri" w:eastAsia="Times New Roman" w:hAnsi="Calibri" w:cs="Calibri"/>
          <w:color w:val="000000"/>
          <w:kern w:val="0"/>
          <w:sz w:val="22"/>
          <w:szCs w:val="22"/>
          <w:lang w:eastAsia="en-GB"/>
          <w14:ligatures w14:val="none"/>
        </w:rPr>
        <w:t xml:space="preserve"> </w:t>
      </w:r>
      <w:r w:rsidR="003E5D3B">
        <w:rPr>
          <w:rFonts w:ascii="Calibri" w:eastAsia="Times New Roman" w:hAnsi="Calibri" w:cs="Calibri"/>
          <w:color w:val="000000"/>
          <w:kern w:val="0"/>
          <w:sz w:val="22"/>
          <w:szCs w:val="22"/>
          <w:lang w:eastAsia="en-GB"/>
          <w14:ligatures w14:val="none"/>
        </w:rPr>
        <w:t xml:space="preserve">and </w:t>
      </w:r>
      <w:r w:rsidRPr="00A355C2">
        <w:rPr>
          <w:rFonts w:ascii="Calibri" w:eastAsia="Times New Roman" w:hAnsi="Calibri" w:cs="Calibri"/>
          <w:color w:val="000000"/>
          <w:kern w:val="0"/>
          <w:sz w:val="22"/>
          <w:szCs w:val="22"/>
          <w:lang w:eastAsia="en-GB"/>
          <w14:ligatures w14:val="none"/>
        </w:rPr>
        <w:t xml:space="preserve">no studies explore </w:t>
      </w:r>
      <w:r w:rsidR="001F7DC6" w:rsidRPr="00507FE1">
        <w:rPr>
          <w:rFonts w:ascii="Calibri" w:eastAsia="Times New Roman" w:hAnsi="Calibri" w:cs="Calibri"/>
          <w:color w:val="000000"/>
          <w:kern w:val="0"/>
          <w:sz w:val="22"/>
          <w:szCs w:val="22"/>
          <w:lang w:eastAsia="en-GB"/>
          <w14:ligatures w14:val="none"/>
        </w:rPr>
        <w:t>FRM</w:t>
      </w:r>
      <w:r w:rsidRPr="00A355C2">
        <w:rPr>
          <w:rFonts w:ascii="Calibri" w:eastAsia="Times New Roman" w:hAnsi="Calibri" w:cs="Calibri"/>
          <w:color w:val="000000"/>
          <w:kern w:val="0"/>
          <w:sz w:val="22"/>
          <w:szCs w:val="22"/>
          <w:lang w:eastAsia="en-GB"/>
          <w14:ligatures w14:val="none"/>
        </w:rPr>
        <w:t xml:space="preserve"> rostering. </w:t>
      </w:r>
    </w:p>
    <w:p w14:paraId="3EA54C4C" w14:textId="76A4C05A" w:rsidR="00927A7F" w:rsidRPr="00927A7F" w:rsidRDefault="00927A7F" w:rsidP="004C7F80">
      <w:pPr>
        <w:spacing w:line="360" w:lineRule="auto"/>
        <w:ind w:firstLine="720"/>
        <w:rPr>
          <w:rFonts w:ascii="Calibri" w:eastAsia="Times New Roman" w:hAnsi="Calibri" w:cs="Calibri"/>
          <w:color w:val="000000"/>
          <w:kern w:val="0"/>
          <w:sz w:val="22"/>
          <w:szCs w:val="22"/>
          <w:lang w:eastAsia="en-GB"/>
          <w14:ligatures w14:val="none"/>
        </w:rPr>
      </w:pPr>
      <w:r w:rsidRPr="00927A7F">
        <w:rPr>
          <w:rFonts w:ascii="Calibri" w:eastAsia="Times New Roman" w:hAnsi="Calibri" w:cs="Calibri"/>
          <w:color w:val="000000"/>
          <w:kern w:val="0"/>
          <w:sz w:val="22"/>
          <w:szCs w:val="22"/>
          <w:lang w:eastAsia="en-GB"/>
          <w14:ligatures w14:val="none"/>
        </w:rPr>
        <w:t>A two-phase study examining core rostering concerns, followed by a rostering trial based on FRM principles for midwives in Canberra, is proposed. This presentation will focus on the first phase. </w:t>
      </w:r>
    </w:p>
    <w:p w14:paraId="198BAE87" w14:textId="30FB4F55" w:rsidR="00A355C2" w:rsidRPr="00A355C2" w:rsidRDefault="00A355C2" w:rsidP="004C7F80">
      <w:pPr>
        <w:spacing w:line="360" w:lineRule="auto"/>
        <w:ind w:firstLine="720"/>
        <w:rPr>
          <w:rFonts w:ascii="Calibri" w:eastAsia="Times New Roman" w:hAnsi="Calibri" w:cs="Calibri"/>
          <w:kern w:val="0"/>
          <w:lang w:eastAsia="en-GB"/>
          <w14:ligatures w14:val="none"/>
        </w:rPr>
      </w:pPr>
      <w:r w:rsidRPr="00A355C2">
        <w:rPr>
          <w:rFonts w:ascii="Calibri" w:eastAsia="Times New Roman" w:hAnsi="Calibri" w:cs="Calibri"/>
          <w:color w:val="000000"/>
          <w:kern w:val="0"/>
          <w:sz w:val="22"/>
          <w:szCs w:val="22"/>
          <w:lang w:eastAsia="en-GB"/>
          <w14:ligatures w14:val="none"/>
        </w:rPr>
        <w:t xml:space="preserve">Phase one would be </w:t>
      </w:r>
      <w:r w:rsidR="00F77848">
        <w:rPr>
          <w:rFonts w:ascii="Calibri" w:eastAsia="Times New Roman" w:hAnsi="Calibri" w:cs="Calibri"/>
          <w:color w:val="000000"/>
          <w:kern w:val="0"/>
          <w:sz w:val="22"/>
          <w:szCs w:val="22"/>
          <w:lang w:eastAsia="en-GB"/>
          <w14:ligatures w14:val="none"/>
        </w:rPr>
        <w:t>mixed</w:t>
      </w:r>
      <w:r w:rsidR="003E5D3B">
        <w:rPr>
          <w:rFonts w:ascii="Calibri" w:eastAsia="Times New Roman" w:hAnsi="Calibri" w:cs="Calibri"/>
          <w:color w:val="000000"/>
          <w:kern w:val="0"/>
          <w:sz w:val="22"/>
          <w:szCs w:val="22"/>
          <w:lang w:eastAsia="en-GB"/>
          <w14:ligatures w14:val="none"/>
        </w:rPr>
        <w:t>-</w:t>
      </w:r>
      <w:r w:rsidR="00F77848">
        <w:rPr>
          <w:rFonts w:ascii="Calibri" w:eastAsia="Times New Roman" w:hAnsi="Calibri" w:cs="Calibri"/>
          <w:color w:val="000000"/>
          <w:kern w:val="0"/>
          <w:sz w:val="22"/>
          <w:szCs w:val="22"/>
          <w:lang w:eastAsia="en-GB"/>
          <w14:ligatures w14:val="none"/>
        </w:rPr>
        <w:t>methods s</w:t>
      </w:r>
      <w:r w:rsidRPr="00A355C2">
        <w:rPr>
          <w:rFonts w:ascii="Calibri" w:eastAsia="Times New Roman" w:hAnsi="Calibri" w:cs="Calibri"/>
          <w:color w:val="000000"/>
          <w:kern w:val="0"/>
          <w:sz w:val="22"/>
          <w:szCs w:val="22"/>
          <w:lang w:eastAsia="en-GB"/>
          <w14:ligatures w14:val="none"/>
        </w:rPr>
        <w:t>tudy to understand midwives’ perceptions of rostering, and barriers and facilitators of FRM rostering. Data would be gathered via surveys, focus groups and / or interviews to inform phase two</w:t>
      </w:r>
      <w:r w:rsidR="00F77848">
        <w:rPr>
          <w:rFonts w:ascii="Calibri" w:eastAsia="Times New Roman" w:hAnsi="Calibri" w:cs="Calibri"/>
          <w:color w:val="000000"/>
          <w:kern w:val="0"/>
          <w:sz w:val="22"/>
          <w:szCs w:val="22"/>
          <w:lang w:eastAsia="en-GB"/>
          <w14:ligatures w14:val="none"/>
        </w:rPr>
        <w:t xml:space="preserve">. Phase two will be </w:t>
      </w:r>
      <w:r w:rsidRPr="00A355C2">
        <w:rPr>
          <w:rFonts w:ascii="Calibri" w:eastAsia="Times New Roman" w:hAnsi="Calibri" w:cs="Calibri"/>
          <w:color w:val="000000"/>
          <w:kern w:val="0"/>
          <w:sz w:val="22"/>
          <w:szCs w:val="22"/>
          <w:lang w:eastAsia="en-GB"/>
          <w14:ligatures w14:val="none"/>
        </w:rPr>
        <w:t>the design and implementation of an FRM rostering trial for midwives. </w:t>
      </w:r>
      <w:r w:rsidR="00F77848">
        <w:rPr>
          <w:rFonts w:ascii="Calibri" w:eastAsia="Times New Roman" w:hAnsi="Calibri" w:cs="Calibri"/>
          <w:color w:val="000000"/>
          <w:kern w:val="0"/>
          <w:sz w:val="22"/>
          <w:szCs w:val="22"/>
          <w:lang w:eastAsia="en-GB"/>
          <w14:ligatures w14:val="none"/>
        </w:rPr>
        <w:t xml:space="preserve">Evaluation of phase two will be through further surveys and interviews. </w:t>
      </w:r>
    </w:p>
    <w:p w14:paraId="1EB330BC" w14:textId="0C223306" w:rsidR="00A355C2" w:rsidRPr="00A355C2" w:rsidRDefault="00A355C2" w:rsidP="004C7F80">
      <w:pPr>
        <w:spacing w:line="360" w:lineRule="auto"/>
        <w:ind w:firstLine="720"/>
        <w:rPr>
          <w:rFonts w:ascii="Calibri" w:eastAsia="Times New Roman" w:hAnsi="Calibri" w:cs="Calibri"/>
          <w:kern w:val="0"/>
          <w:lang w:eastAsia="en-GB"/>
          <w14:ligatures w14:val="none"/>
        </w:rPr>
      </w:pPr>
      <w:r w:rsidRPr="00A355C2">
        <w:rPr>
          <w:rFonts w:ascii="Calibri" w:eastAsia="Times New Roman" w:hAnsi="Calibri" w:cs="Calibri"/>
          <w:color w:val="000000"/>
          <w:kern w:val="0"/>
          <w:sz w:val="22"/>
          <w:szCs w:val="22"/>
          <w:lang w:eastAsia="en-GB"/>
          <w14:ligatures w14:val="none"/>
        </w:rPr>
        <w:t xml:space="preserve">Although rostering alone cannot solve midwife burnout, it is hoped this research will underscore its significance by addressing the gap in the literature, highlighting the importance of midwives’ sleep health. 24-hour maternity care is essential. </w:t>
      </w:r>
      <w:proofErr w:type="spellStart"/>
      <w:r w:rsidRPr="00A355C2">
        <w:rPr>
          <w:rFonts w:ascii="Calibri" w:eastAsia="Times New Roman" w:hAnsi="Calibri" w:cs="Calibri"/>
          <w:color w:val="000000"/>
          <w:kern w:val="0"/>
          <w:sz w:val="22"/>
          <w:szCs w:val="22"/>
          <w:lang w:eastAsia="en-GB"/>
          <w14:ligatures w14:val="none"/>
        </w:rPr>
        <w:t>Shiftworking</w:t>
      </w:r>
      <w:proofErr w:type="spellEnd"/>
      <w:r w:rsidRPr="00A355C2">
        <w:rPr>
          <w:rFonts w:ascii="Calibri" w:eastAsia="Times New Roman" w:hAnsi="Calibri" w:cs="Calibri"/>
          <w:color w:val="000000"/>
          <w:kern w:val="0"/>
          <w:sz w:val="22"/>
          <w:szCs w:val="22"/>
          <w:lang w:eastAsia="en-GB"/>
          <w14:ligatures w14:val="none"/>
        </w:rPr>
        <w:t xml:space="preserve"> midwives report the highest burnout levels. The initial phase of this research sets the stage for phase two, and potential future research into safeguarding the sleep health of midwives.</w:t>
      </w:r>
    </w:p>
    <w:p w14:paraId="5B615EE8" w14:textId="77777777" w:rsidR="00A355C2" w:rsidRPr="00A355C2" w:rsidRDefault="00A355C2" w:rsidP="00A355C2">
      <w:pPr>
        <w:rPr>
          <w:rFonts w:ascii="Calibri" w:eastAsia="Times New Roman" w:hAnsi="Calibri" w:cs="Calibri"/>
          <w:kern w:val="0"/>
          <w:lang w:eastAsia="en-GB"/>
          <w14:ligatures w14:val="none"/>
        </w:rPr>
      </w:pPr>
    </w:p>
    <w:p w14:paraId="75970ED0" w14:textId="7A1880E7" w:rsidR="001F7DC6" w:rsidRPr="00507FE1" w:rsidRDefault="001F7DC6">
      <w:r w:rsidRPr="00507FE1">
        <w:br w:type="page"/>
      </w:r>
    </w:p>
    <w:p w14:paraId="022D58B5" w14:textId="363E9769" w:rsidR="00941369" w:rsidRPr="00507FE1" w:rsidRDefault="00941369" w:rsidP="001F7DC6">
      <w:pPr>
        <w:ind w:left="709" w:hanging="720"/>
        <w:rPr>
          <w:rFonts w:ascii="Calibri" w:eastAsia="Times New Roman" w:hAnsi="Calibri" w:cs="Calibri"/>
          <w:b/>
          <w:bCs/>
          <w:color w:val="000000"/>
          <w:kern w:val="0"/>
          <w:sz w:val="22"/>
          <w:szCs w:val="22"/>
          <w:lang w:eastAsia="en-GB"/>
          <w14:ligatures w14:val="none"/>
        </w:rPr>
      </w:pPr>
      <w:r w:rsidRPr="00507FE1">
        <w:rPr>
          <w:rFonts w:ascii="Calibri" w:eastAsia="Times New Roman" w:hAnsi="Calibri" w:cs="Calibri"/>
          <w:b/>
          <w:bCs/>
          <w:color w:val="000000"/>
          <w:kern w:val="0"/>
          <w:sz w:val="22"/>
          <w:szCs w:val="22"/>
          <w:lang w:eastAsia="en-GB"/>
          <w14:ligatures w14:val="none"/>
        </w:rPr>
        <w:lastRenderedPageBreak/>
        <w:t>References:</w:t>
      </w:r>
    </w:p>
    <w:p w14:paraId="123C1569" w14:textId="5FCE234E" w:rsidR="001F7DC6" w:rsidRPr="00507FE1" w:rsidRDefault="001F7DC6" w:rsidP="001F7DC6">
      <w:pPr>
        <w:ind w:left="709" w:hanging="720"/>
        <w:rPr>
          <w:rFonts w:ascii="Times New Roman" w:eastAsia="Times New Roman" w:hAnsi="Times New Roman" w:cs="Times New Roman"/>
          <w:kern w:val="0"/>
          <w:lang w:eastAsia="en-GB"/>
          <w14:ligatures w14:val="none"/>
        </w:rPr>
      </w:pPr>
      <w:r w:rsidRPr="00507FE1">
        <w:rPr>
          <w:rFonts w:ascii="Calibri" w:eastAsia="Times New Roman" w:hAnsi="Calibri" w:cs="Calibri"/>
          <w:color w:val="000000"/>
          <w:kern w:val="0"/>
          <w:sz w:val="22"/>
          <w:szCs w:val="22"/>
          <w:lang w:eastAsia="en-GB"/>
          <w14:ligatures w14:val="none"/>
        </w:rPr>
        <w:t xml:space="preserve">ACT Health. (2021). </w:t>
      </w:r>
      <w:r w:rsidRPr="00507FE1">
        <w:rPr>
          <w:rFonts w:ascii="Calibri" w:eastAsia="Times New Roman" w:hAnsi="Calibri" w:cs="Calibri"/>
          <w:i/>
          <w:iCs/>
          <w:color w:val="000000"/>
          <w:kern w:val="0"/>
          <w:sz w:val="22"/>
          <w:szCs w:val="22"/>
          <w:lang w:eastAsia="en-GB"/>
          <w14:ligatures w14:val="none"/>
        </w:rPr>
        <w:t>Strengthening rostering guidelines: nurses and midwives towards a safer culture - discussion paper</w:t>
      </w:r>
      <w:r w:rsidRPr="00507FE1">
        <w:rPr>
          <w:rFonts w:ascii="Calibri" w:eastAsia="Times New Roman" w:hAnsi="Calibri" w:cs="Calibri"/>
          <w:color w:val="000000"/>
          <w:kern w:val="0"/>
          <w:sz w:val="22"/>
          <w:szCs w:val="22"/>
          <w:lang w:eastAsia="en-GB"/>
          <w14:ligatures w14:val="none"/>
        </w:rPr>
        <w:t>. Australian Capital Territory Government.  https://health.act.gov.au/sites/default/files/2022-02/N%26M_Strengthening%20Rostering%20Guidelines.pdf</w:t>
      </w:r>
    </w:p>
    <w:p w14:paraId="0638A313" w14:textId="77777777" w:rsidR="001F7DC6" w:rsidRPr="00507FE1" w:rsidRDefault="001F7DC6" w:rsidP="001F7DC6">
      <w:pPr>
        <w:ind w:left="709" w:hanging="720"/>
        <w:rPr>
          <w:rFonts w:ascii="Calibri" w:hAnsi="Calibri" w:cs="Calibri"/>
          <w:color w:val="000000" w:themeColor="text1"/>
          <w:sz w:val="22"/>
          <w:szCs w:val="22"/>
        </w:rPr>
      </w:pPr>
      <w:r w:rsidRPr="00507FE1">
        <w:rPr>
          <w:rFonts w:ascii="Calibri" w:eastAsia="Times New Roman" w:hAnsi="Calibri" w:cs="Calibri"/>
          <w:color w:val="000000" w:themeColor="text1"/>
          <w:kern w:val="0"/>
          <w:sz w:val="22"/>
          <w:szCs w:val="22"/>
          <w:lang w:eastAsia="en-GB"/>
          <w14:ligatures w14:val="none"/>
        </w:rPr>
        <w:t xml:space="preserve">Arbour, M., Gordon, I. K., </w:t>
      </w:r>
      <w:proofErr w:type="spellStart"/>
      <w:r w:rsidRPr="00507FE1">
        <w:rPr>
          <w:rFonts w:ascii="Calibri" w:eastAsia="Times New Roman" w:hAnsi="Calibri" w:cs="Calibri"/>
          <w:color w:val="000000" w:themeColor="text1"/>
          <w:kern w:val="0"/>
          <w:sz w:val="22"/>
          <w:szCs w:val="22"/>
          <w:lang w:eastAsia="en-GB"/>
          <w14:ligatures w14:val="none"/>
        </w:rPr>
        <w:t>Saftner</w:t>
      </w:r>
      <w:proofErr w:type="spellEnd"/>
      <w:r w:rsidRPr="00507FE1">
        <w:rPr>
          <w:rFonts w:ascii="Calibri" w:eastAsia="Times New Roman" w:hAnsi="Calibri" w:cs="Calibri"/>
          <w:color w:val="000000" w:themeColor="text1"/>
          <w:kern w:val="0"/>
          <w:sz w:val="22"/>
          <w:szCs w:val="22"/>
          <w:lang w:eastAsia="en-GB"/>
          <w14:ligatures w14:val="none"/>
        </w:rPr>
        <w:t xml:space="preserve">, M., &amp; Tanner, T. (2020). The experience of sleep deprivation for midwives practicing in the United States. </w:t>
      </w:r>
      <w:r w:rsidRPr="00507FE1">
        <w:rPr>
          <w:rFonts w:ascii="Calibri" w:eastAsia="Times New Roman" w:hAnsi="Calibri" w:cs="Calibri"/>
          <w:i/>
          <w:iCs/>
          <w:color w:val="000000" w:themeColor="text1"/>
          <w:kern w:val="0"/>
          <w:sz w:val="22"/>
          <w:szCs w:val="22"/>
          <w:lang w:eastAsia="en-GB"/>
          <w14:ligatures w14:val="none"/>
        </w:rPr>
        <w:t>Midwifery, 89</w:t>
      </w:r>
      <w:r w:rsidRPr="00507FE1">
        <w:rPr>
          <w:rFonts w:ascii="Calibri" w:eastAsia="Times New Roman" w:hAnsi="Calibri" w:cs="Calibri"/>
          <w:color w:val="000000" w:themeColor="text1"/>
          <w:kern w:val="0"/>
          <w:sz w:val="22"/>
          <w:szCs w:val="22"/>
          <w:lang w:eastAsia="en-GB"/>
          <w14:ligatures w14:val="none"/>
        </w:rPr>
        <w:t>, 102782–102782. https://doi.org/10.1016/j.midw.2020.102782</w:t>
      </w:r>
    </w:p>
    <w:p w14:paraId="0CD14380" w14:textId="47F76430" w:rsidR="001F7DC6" w:rsidRPr="00507FE1" w:rsidRDefault="001F7DC6" w:rsidP="001F7DC6">
      <w:pPr>
        <w:ind w:left="709" w:hanging="720"/>
        <w:rPr>
          <w:rFonts w:ascii="Times New Roman" w:eastAsia="Times New Roman" w:hAnsi="Times New Roman" w:cs="Times New Roman"/>
          <w:kern w:val="0"/>
          <w:lang w:eastAsia="en-GB"/>
          <w14:ligatures w14:val="none"/>
        </w:rPr>
      </w:pPr>
      <w:r w:rsidRPr="00507FE1">
        <w:rPr>
          <w:rFonts w:ascii="Calibri" w:eastAsia="Times New Roman" w:hAnsi="Calibri" w:cs="Calibri"/>
          <w:color w:val="000000"/>
          <w:kern w:val="0"/>
          <w:sz w:val="22"/>
          <w:szCs w:val="22"/>
          <w:lang w:eastAsia="en-GB"/>
          <w14:ligatures w14:val="none"/>
        </w:rPr>
        <w:t xml:space="preserve">Australian Nursing &amp; Midwifery Federation [ANMF]. (2019). </w:t>
      </w:r>
      <w:r w:rsidRPr="00507FE1">
        <w:rPr>
          <w:rFonts w:ascii="Calibri" w:eastAsia="Times New Roman" w:hAnsi="Calibri" w:cs="Calibri"/>
          <w:i/>
          <w:iCs/>
          <w:color w:val="000000"/>
          <w:kern w:val="0"/>
          <w:sz w:val="22"/>
          <w:szCs w:val="22"/>
          <w:lang w:eastAsia="en-GB"/>
          <w14:ligatures w14:val="none"/>
        </w:rPr>
        <w:t xml:space="preserve">Fatigue </w:t>
      </w:r>
      <w:r w:rsidR="00F1075C" w:rsidRPr="00507FE1">
        <w:rPr>
          <w:rFonts w:ascii="Calibri" w:eastAsia="Times New Roman" w:hAnsi="Calibri" w:cs="Calibri"/>
          <w:i/>
          <w:iCs/>
          <w:color w:val="000000"/>
          <w:kern w:val="0"/>
          <w:sz w:val="22"/>
          <w:szCs w:val="22"/>
          <w:lang w:eastAsia="en-GB"/>
          <w14:ligatures w14:val="none"/>
        </w:rPr>
        <w:t>p</w:t>
      </w:r>
      <w:r w:rsidRPr="00507FE1">
        <w:rPr>
          <w:rFonts w:ascii="Calibri" w:eastAsia="Times New Roman" w:hAnsi="Calibri" w:cs="Calibri"/>
          <w:i/>
          <w:iCs/>
          <w:color w:val="000000"/>
          <w:kern w:val="0"/>
          <w:sz w:val="22"/>
          <w:szCs w:val="22"/>
          <w:lang w:eastAsia="en-GB"/>
          <w14:ligatures w14:val="none"/>
        </w:rPr>
        <w:t>revention</w:t>
      </w:r>
      <w:r w:rsidRPr="00507FE1">
        <w:rPr>
          <w:rFonts w:ascii="Calibri" w:eastAsia="Times New Roman" w:hAnsi="Calibri" w:cs="Calibri"/>
          <w:color w:val="000000"/>
          <w:kern w:val="0"/>
          <w:sz w:val="22"/>
          <w:szCs w:val="22"/>
          <w:lang w:eastAsia="en-GB"/>
          <w14:ligatures w14:val="none"/>
        </w:rPr>
        <w:t>. ANMF.  https://www.anmf.org.au/media/22hbkoyd/p_fatigue_prevention.pdf</w:t>
      </w:r>
    </w:p>
    <w:p w14:paraId="406138EB" w14:textId="77777777" w:rsidR="001F7DC6" w:rsidRPr="00507FE1" w:rsidRDefault="001F7DC6" w:rsidP="001F7DC6">
      <w:pPr>
        <w:ind w:left="709" w:hanging="720"/>
        <w:rPr>
          <w:rFonts w:ascii="Times New Roman" w:eastAsia="Times New Roman" w:hAnsi="Times New Roman" w:cs="Times New Roman"/>
          <w:kern w:val="0"/>
          <w:lang w:eastAsia="en-GB"/>
          <w14:ligatures w14:val="none"/>
        </w:rPr>
      </w:pPr>
      <w:r w:rsidRPr="00507FE1">
        <w:rPr>
          <w:rFonts w:ascii="Calibri" w:eastAsia="Times New Roman" w:hAnsi="Calibri" w:cs="Calibri"/>
          <w:color w:val="000000"/>
          <w:kern w:val="0"/>
          <w:sz w:val="22"/>
          <w:szCs w:val="22"/>
          <w:lang w:eastAsia="en-GB"/>
          <w14:ligatures w14:val="none"/>
        </w:rPr>
        <w:t xml:space="preserve">Australian Nursing &amp; Midwifery Federation. (2023). </w:t>
      </w:r>
      <w:r w:rsidRPr="00507FE1">
        <w:rPr>
          <w:rFonts w:ascii="Calibri" w:eastAsia="Times New Roman" w:hAnsi="Calibri" w:cs="Calibri"/>
          <w:i/>
          <w:iCs/>
          <w:color w:val="000000"/>
          <w:kern w:val="0"/>
          <w:sz w:val="22"/>
          <w:szCs w:val="22"/>
          <w:lang w:eastAsia="en-GB"/>
          <w14:ligatures w14:val="none"/>
        </w:rPr>
        <w:t>Submission to the Inquiry into e-petition 19-22 “Recovery Plan for nursing and midwifery workers”.</w:t>
      </w:r>
      <w:r w:rsidRPr="00507FE1">
        <w:rPr>
          <w:rFonts w:ascii="Calibri" w:eastAsia="Times New Roman" w:hAnsi="Calibri" w:cs="Calibri"/>
          <w:color w:val="000000"/>
          <w:kern w:val="0"/>
          <w:sz w:val="22"/>
          <w:szCs w:val="22"/>
          <w:lang w:eastAsia="en-GB"/>
          <w14:ligatures w14:val="none"/>
        </w:rPr>
        <w:t xml:space="preserve"> ANMF - ACT Branch.  https://www.parliament.act.gov.au/__data/assets/pdf_file/0003/2181792/Submission-13-Australian-Nursing-and-Midwifery-Federation-ACT-Branch.pdf</w:t>
      </w:r>
    </w:p>
    <w:p w14:paraId="396A8688"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Ball, J., Day, T., Murrells, T., </w:t>
      </w:r>
      <w:proofErr w:type="spellStart"/>
      <w:r w:rsidRPr="00507FE1">
        <w:rPr>
          <w:rFonts w:ascii="Calibri" w:eastAsia="Times New Roman" w:hAnsi="Calibri" w:cs="Calibri"/>
          <w:color w:val="000000" w:themeColor="text1"/>
          <w:kern w:val="0"/>
          <w:sz w:val="22"/>
          <w:szCs w:val="22"/>
          <w:lang w:eastAsia="en-GB"/>
          <w14:ligatures w14:val="none"/>
        </w:rPr>
        <w:t>Dall’Ora</w:t>
      </w:r>
      <w:proofErr w:type="spellEnd"/>
      <w:r w:rsidRPr="00507FE1">
        <w:rPr>
          <w:rFonts w:ascii="Calibri" w:eastAsia="Times New Roman" w:hAnsi="Calibri" w:cs="Calibri"/>
          <w:color w:val="000000" w:themeColor="text1"/>
          <w:kern w:val="0"/>
          <w:sz w:val="22"/>
          <w:szCs w:val="22"/>
          <w:lang w:eastAsia="en-GB"/>
          <w14:ligatures w14:val="none"/>
        </w:rPr>
        <w:t>, C., Rafferty, A. M., Griffiths, P., &amp; Maben, J. (2017). Cross-sectional examination of the association between shift length and hospital nurses job satisfaction and nurse reported quality measures</w:t>
      </w:r>
      <w:r w:rsidRPr="00507FE1">
        <w:rPr>
          <w:rFonts w:ascii="Calibri" w:eastAsia="Times New Roman" w:hAnsi="Calibri" w:cs="Calibri"/>
          <w:i/>
          <w:iCs/>
          <w:color w:val="000000" w:themeColor="text1"/>
          <w:kern w:val="0"/>
          <w:sz w:val="22"/>
          <w:szCs w:val="22"/>
          <w:lang w:eastAsia="en-GB"/>
          <w14:ligatures w14:val="none"/>
        </w:rPr>
        <w:t>. BMC Nursing, 16</w:t>
      </w:r>
      <w:r w:rsidRPr="00507FE1">
        <w:rPr>
          <w:rFonts w:ascii="Calibri" w:eastAsia="Times New Roman" w:hAnsi="Calibri" w:cs="Calibri"/>
          <w:color w:val="000000" w:themeColor="text1"/>
          <w:kern w:val="0"/>
          <w:sz w:val="22"/>
          <w:szCs w:val="22"/>
          <w:lang w:eastAsia="en-GB"/>
          <w14:ligatures w14:val="none"/>
        </w:rPr>
        <w:t>(1), 26–26. https://doi.org/10.1186/s12912-017-0221-7</w:t>
      </w:r>
    </w:p>
    <w:p w14:paraId="1ADD5ACA" w14:textId="2B4ED353" w:rsidR="00CD2EAC" w:rsidRPr="00507FE1" w:rsidRDefault="00CD2EAC" w:rsidP="00CD2EAC">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t>Bendak</w:t>
      </w:r>
      <w:proofErr w:type="spellEnd"/>
      <w:r w:rsidRPr="00507FE1">
        <w:rPr>
          <w:rFonts w:ascii="Calibri" w:eastAsia="Times New Roman" w:hAnsi="Calibri" w:cs="Calibri"/>
          <w:color w:val="000000" w:themeColor="text1"/>
          <w:kern w:val="0"/>
          <w:sz w:val="22"/>
          <w:szCs w:val="22"/>
          <w:lang w:eastAsia="en-GB"/>
          <w14:ligatures w14:val="none"/>
        </w:rPr>
        <w:t xml:space="preserve">, S. &amp; Rashid, H. (2020). Fatigue in aviation: A systematic review of the literature. </w:t>
      </w:r>
      <w:r w:rsidRPr="00507FE1">
        <w:rPr>
          <w:rFonts w:ascii="Calibri" w:eastAsia="Times New Roman" w:hAnsi="Calibri" w:cs="Calibri"/>
          <w:i/>
          <w:iCs/>
          <w:color w:val="000000" w:themeColor="text1"/>
          <w:kern w:val="0"/>
          <w:sz w:val="22"/>
          <w:szCs w:val="22"/>
          <w:lang w:eastAsia="en-GB"/>
          <w14:ligatures w14:val="none"/>
        </w:rPr>
        <w:t>International Journal of Industrial Ergonomics, 76.</w:t>
      </w:r>
      <w:r w:rsidRPr="00507FE1">
        <w:rPr>
          <w:rFonts w:ascii="Calibri" w:eastAsia="Times New Roman" w:hAnsi="Calibri" w:cs="Calibri"/>
          <w:color w:val="000000" w:themeColor="text1"/>
          <w:kern w:val="0"/>
          <w:sz w:val="22"/>
          <w:szCs w:val="22"/>
          <w:lang w:eastAsia="en-GB"/>
          <w14:ligatures w14:val="none"/>
        </w:rPr>
        <w:t xml:space="preserve"> https://doi.org/10.1016/j.ergon.2020.102928</w:t>
      </w:r>
    </w:p>
    <w:p w14:paraId="15E10591" w14:textId="6F26AE7B"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Brown, J., Martin, D., </w:t>
      </w:r>
      <w:proofErr w:type="spellStart"/>
      <w:r w:rsidRPr="00507FE1">
        <w:rPr>
          <w:rFonts w:ascii="Calibri" w:eastAsia="Times New Roman" w:hAnsi="Calibri" w:cs="Calibri"/>
          <w:color w:val="000000" w:themeColor="text1"/>
          <w:kern w:val="0"/>
          <w:sz w:val="22"/>
          <w:szCs w:val="22"/>
          <w:lang w:eastAsia="en-GB"/>
          <w14:ligatures w14:val="none"/>
        </w:rPr>
        <w:t>Nagaria</w:t>
      </w:r>
      <w:proofErr w:type="spellEnd"/>
      <w:r w:rsidRPr="00507FE1">
        <w:rPr>
          <w:rFonts w:ascii="Calibri" w:eastAsia="Times New Roman" w:hAnsi="Calibri" w:cs="Calibri"/>
          <w:color w:val="000000" w:themeColor="text1"/>
          <w:kern w:val="0"/>
          <w:sz w:val="22"/>
          <w:szCs w:val="22"/>
          <w:lang w:eastAsia="en-GB"/>
          <w14:ligatures w14:val="none"/>
        </w:rPr>
        <w:t xml:space="preserve">, Z., </w:t>
      </w:r>
      <w:proofErr w:type="spellStart"/>
      <w:r w:rsidRPr="00507FE1">
        <w:rPr>
          <w:rFonts w:ascii="Calibri" w:eastAsia="Times New Roman" w:hAnsi="Calibri" w:cs="Calibri"/>
          <w:color w:val="000000" w:themeColor="text1"/>
          <w:kern w:val="0"/>
          <w:sz w:val="22"/>
          <w:szCs w:val="22"/>
          <w:lang w:eastAsia="en-GB"/>
          <w14:ligatures w14:val="none"/>
        </w:rPr>
        <w:t>Verceles</w:t>
      </w:r>
      <w:proofErr w:type="spellEnd"/>
      <w:r w:rsidRPr="00507FE1">
        <w:rPr>
          <w:rFonts w:ascii="Calibri" w:eastAsia="Times New Roman" w:hAnsi="Calibri" w:cs="Calibri"/>
          <w:color w:val="000000" w:themeColor="text1"/>
          <w:kern w:val="0"/>
          <w:sz w:val="22"/>
          <w:szCs w:val="22"/>
          <w:lang w:eastAsia="en-GB"/>
          <w14:ligatures w14:val="none"/>
        </w:rPr>
        <w:t xml:space="preserve">, A. C., </w:t>
      </w:r>
      <w:proofErr w:type="spellStart"/>
      <w:r w:rsidRPr="00507FE1">
        <w:rPr>
          <w:rFonts w:ascii="Calibri" w:eastAsia="Times New Roman" w:hAnsi="Calibri" w:cs="Calibri"/>
          <w:color w:val="000000" w:themeColor="text1"/>
          <w:kern w:val="0"/>
          <w:sz w:val="22"/>
          <w:szCs w:val="22"/>
          <w:lang w:eastAsia="en-GB"/>
          <w14:ligatures w14:val="none"/>
        </w:rPr>
        <w:t>Jobe</w:t>
      </w:r>
      <w:proofErr w:type="spellEnd"/>
      <w:r w:rsidRPr="00507FE1">
        <w:rPr>
          <w:rFonts w:ascii="Calibri" w:eastAsia="Times New Roman" w:hAnsi="Calibri" w:cs="Calibri"/>
          <w:color w:val="000000" w:themeColor="text1"/>
          <w:kern w:val="0"/>
          <w:sz w:val="22"/>
          <w:szCs w:val="22"/>
          <w:lang w:eastAsia="en-GB"/>
          <w14:ligatures w14:val="none"/>
        </w:rPr>
        <w:t xml:space="preserve">, S. L., &amp; </w:t>
      </w:r>
      <w:proofErr w:type="spellStart"/>
      <w:r w:rsidRPr="00507FE1">
        <w:rPr>
          <w:rFonts w:ascii="Calibri" w:eastAsia="Times New Roman" w:hAnsi="Calibri" w:cs="Calibri"/>
          <w:color w:val="000000" w:themeColor="text1"/>
          <w:kern w:val="0"/>
          <w:sz w:val="22"/>
          <w:szCs w:val="22"/>
          <w:lang w:eastAsia="en-GB"/>
          <w14:ligatures w14:val="none"/>
        </w:rPr>
        <w:t>Wickwire</w:t>
      </w:r>
      <w:proofErr w:type="spellEnd"/>
      <w:r w:rsidRPr="00507FE1">
        <w:rPr>
          <w:rFonts w:ascii="Calibri" w:eastAsia="Times New Roman" w:hAnsi="Calibri" w:cs="Calibri"/>
          <w:color w:val="000000" w:themeColor="text1"/>
          <w:kern w:val="0"/>
          <w:sz w:val="22"/>
          <w:szCs w:val="22"/>
          <w:lang w:eastAsia="en-GB"/>
          <w14:ligatures w14:val="none"/>
        </w:rPr>
        <w:t xml:space="preserve">, E. M. (2020). Mental health consequences of shift work: an updated review. </w:t>
      </w:r>
      <w:r w:rsidRPr="00507FE1">
        <w:rPr>
          <w:rFonts w:ascii="Calibri" w:eastAsia="Times New Roman" w:hAnsi="Calibri" w:cs="Calibri"/>
          <w:i/>
          <w:iCs/>
          <w:color w:val="000000" w:themeColor="text1"/>
          <w:kern w:val="0"/>
          <w:sz w:val="22"/>
          <w:szCs w:val="22"/>
          <w:lang w:eastAsia="en-GB"/>
          <w14:ligatures w14:val="none"/>
        </w:rPr>
        <w:t>Current Psychiatry Reports, 22</w:t>
      </w:r>
      <w:r w:rsidRPr="00507FE1">
        <w:rPr>
          <w:rFonts w:ascii="Calibri" w:eastAsia="Times New Roman" w:hAnsi="Calibri" w:cs="Calibri"/>
          <w:color w:val="000000" w:themeColor="text1"/>
          <w:kern w:val="0"/>
          <w:sz w:val="22"/>
          <w:szCs w:val="22"/>
          <w:lang w:eastAsia="en-GB"/>
          <w14:ligatures w14:val="none"/>
        </w:rPr>
        <w:t>(2), 7–7. https://doi.org/10.1007/s11920-020-1131-z</w:t>
      </w:r>
    </w:p>
    <w:p w14:paraId="1BC252CB"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Cull, J., Hunter, B., Henley, J., Fenwick, J., &amp; Sidebotham, M. (2020). “Overwhelmed and out of my depth”: Responses from early career midwives in the United Kingdom to the Work, </w:t>
      </w:r>
      <w:proofErr w:type="gramStart"/>
      <w:r w:rsidRPr="00507FE1">
        <w:rPr>
          <w:rFonts w:ascii="Calibri" w:eastAsia="Times New Roman" w:hAnsi="Calibri" w:cs="Calibri"/>
          <w:color w:val="000000" w:themeColor="text1"/>
          <w:kern w:val="0"/>
          <w:sz w:val="22"/>
          <w:szCs w:val="22"/>
          <w:lang w:eastAsia="en-GB"/>
          <w14:ligatures w14:val="none"/>
        </w:rPr>
        <w:t>Health</w:t>
      </w:r>
      <w:proofErr w:type="gramEnd"/>
      <w:r w:rsidRPr="00507FE1">
        <w:rPr>
          <w:rFonts w:ascii="Calibri" w:eastAsia="Times New Roman" w:hAnsi="Calibri" w:cs="Calibri"/>
          <w:color w:val="000000" w:themeColor="text1"/>
          <w:kern w:val="0"/>
          <w:sz w:val="22"/>
          <w:szCs w:val="22"/>
          <w:lang w:eastAsia="en-GB"/>
          <w14:ligatures w14:val="none"/>
        </w:rPr>
        <w:t xml:space="preserve"> and Emotional Lives of Midwives study. </w:t>
      </w:r>
      <w:r w:rsidRPr="00507FE1">
        <w:rPr>
          <w:rFonts w:ascii="Calibri" w:eastAsia="Times New Roman" w:hAnsi="Calibri" w:cs="Calibri"/>
          <w:i/>
          <w:iCs/>
          <w:color w:val="000000" w:themeColor="text1"/>
          <w:kern w:val="0"/>
          <w:sz w:val="22"/>
          <w:szCs w:val="22"/>
          <w:lang w:eastAsia="en-GB"/>
          <w14:ligatures w14:val="none"/>
        </w:rPr>
        <w:t xml:space="preserve">Women and </w:t>
      </w:r>
      <w:proofErr w:type="gramStart"/>
      <w:r w:rsidRPr="00507FE1">
        <w:rPr>
          <w:rFonts w:ascii="Calibri" w:eastAsia="Times New Roman" w:hAnsi="Calibri" w:cs="Calibri"/>
          <w:i/>
          <w:iCs/>
          <w:color w:val="000000" w:themeColor="text1"/>
          <w:kern w:val="0"/>
          <w:sz w:val="22"/>
          <w:szCs w:val="22"/>
          <w:lang w:eastAsia="en-GB"/>
          <w14:ligatures w14:val="none"/>
        </w:rPr>
        <w:t>Birth :</w:t>
      </w:r>
      <w:proofErr w:type="gramEnd"/>
      <w:r w:rsidRPr="00507FE1">
        <w:rPr>
          <w:rFonts w:ascii="Calibri" w:eastAsia="Times New Roman" w:hAnsi="Calibri" w:cs="Calibri"/>
          <w:i/>
          <w:iCs/>
          <w:color w:val="000000" w:themeColor="text1"/>
          <w:kern w:val="0"/>
          <w:sz w:val="22"/>
          <w:szCs w:val="22"/>
          <w:lang w:eastAsia="en-GB"/>
          <w14:ligatures w14:val="none"/>
        </w:rPr>
        <w:t xml:space="preserve"> Journal of the Australian College of Midwives, 33</w:t>
      </w:r>
      <w:r w:rsidRPr="00507FE1">
        <w:rPr>
          <w:rFonts w:ascii="Calibri" w:eastAsia="Times New Roman" w:hAnsi="Calibri" w:cs="Calibri"/>
          <w:color w:val="000000" w:themeColor="text1"/>
          <w:kern w:val="0"/>
          <w:sz w:val="22"/>
          <w:szCs w:val="22"/>
          <w:lang w:eastAsia="en-GB"/>
          <w14:ligatures w14:val="none"/>
        </w:rPr>
        <w:t>(6), e549–e557. https://doi.org/10.1016/j.wombi.2020.01.003</w:t>
      </w:r>
    </w:p>
    <w:p w14:paraId="500E8609"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t>Dall’Ora</w:t>
      </w:r>
      <w:proofErr w:type="spellEnd"/>
      <w:r w:rsidRPr="00507FE1">
        <w:rPr>
          <w:rFonts w:ascii="Calibri" w:eastAsia="Times New Roman" w:hAnsi="Calibri" w:cs="Calibri"/>
          <w:color w:val="000000" w:themeColor="text1"/>
          <w:kern w:val="0"/>
          <w:sz w:val="22"/>
          <w:szCs w:val="22"/>
          <w:lang w:eastAsia="en-GB"/>
          <w14:ligatures w14:val="none"/>
        </w:rPr>
        <w:t xml:space="preserve">, C., Ball, J., </w:t>
      </w:r>
      <w:proofErr w:type="spellStart"/>
      <w:r w:rsidRPr="00507FE1">
        <w:rPr>
          <w:rFonts w:ascii="Calibri" w:eastAsia="Times New Roman" w:hAnsi="Calibri" w:cs="Calibri"/>
          <w:color w:val="000000" w:themeColor="text1"/>
          <w:kern w:val="0"/>
          <w:sz w:val="22"/>
          <w:szCs w:val="22"/>
          <w:lang w:eastAsia="en-GB"/>
          <w14:ligatures w14:val="none"/>
        </w:rPr>
        <w:t>Recio</w:t>
      </w:r>
      <w:proofErr w:type="spellEnd"/>
      <w:r w:rsidRPr="00507FE1">
        <w:rPr>
          <w:rFonts w:ascii="Calibri" w:eastAsia="Times New Roman" w:hAnsi="Calibri" w:cs="Calibri"/>
          <w:color w:val="000000" w:themeColor="text1"/>
          <w:kern w:val="0"/>
          <w:sz w:val="22"/>
          <w:szCs w:val="22"/>
          <w:lang w:eastAsia="en-GB"/>
          <w14:ligatures w14:val="none"/>
        </w:rPr>
        <w:t>-Saucedo, A., &amp; Griffiths, P. (2016). Characteristics of shift work and their impact on employee performance and wellbeing: A literature review</w:t>
      </w:r>
      <w:r w:rsidRPr="00507FE1">
        <w:rPr>
          <w:rFonts w:ascii="Calibri" w:eastAsia="Times New Roman" w:hAnsi="Calibri" w:cs="Calibri"/>
          <w:i/>
          <w:iCs/>
          <w:color w:val="000000" w:themeColor="text1"/>
          <w:kern w:val="0"/>
          <w:sz w:val="22"/>
          <w:szCs w:val="22"/>
          <w:lang w:eastAsia="en-GB"/>
          <w14:ligatures w14:val="none"/>
        </w:rPr>
        <w:t>. International Journal of Nursing Studies, 57</w:t>
      </w:r>
      <w:r w:rsidRPr="00507FE1">
        <w:rPr>
          <w:rFonts w:ascii="Calibri" w:eastAsia="Times New Roman" w:hAnsi="Calibri" w:cs="Calibri"/>
          <w:color w:val="000000" w:themeColor="text1"/>
          <w:kern w:val="0"/>
          <w:sz w:val="22"/>
          <w:szCs w:val="22"/>
          <w:lang w:eastAsia="en-GB"/>
          <w14:ligatures w14:val="none"/>
        </w:rPr>
        <w:t>, 12–27. https://doi.org/10.1016/j.ijnurstu.2016.01.007</w:t>
      </w:r>
    </w:p>
    <w:p w14:paraId="184C0A6B"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Fenwick, J., </w:t>
      </w:r>
      <w:proofErr w:type="spellStart"/>
      <w:r w:rsidRPr="00507FE1">
        <w:rPr>
          <w:rFonts w:ascii="Calibri" w:eastAsia="Times New Roman" w:hAnsi="Calibri" w:cs="Calibri"/>
          <w:color w:val="000000" w:themeColor="text1"/>
          <w:kern w:val="0"/>
          <w:sz w:val="22"/>
          <w:szCs w:val="22"/>
          <w:lang w:eastAsia="en-GB"/>
          <w14:ligatures w14:val="none"/>
        </w:rPr>
        <w:t>Lubomski</w:t>
      </w:r>
      <w:proofErr w:type="spellEnd"/>
      <w:r w:rsidRPr="00507FE1">
        <w:rPr>
          <w:rFonts w:ascii="Calibri" w:eastAsia="Times New Roman" w:hAnsi="Calibri" w:cs="Calibri"/>
          <w:color w:val="000000" w:themeColor="text1"/>
          <w:kern w:val="0"/>
          <w:sz w:val="22"/>
          <w:szCs w:val="22"/>
          <w:lang w:eastAsia="en-GB"/>
          <w14:ligatures w14:val="none"/>
        </w:rPr>
        <w:t xml:space="preserve">, A., Creedy, D. K., &amp; Sidebotham, M. (2018). Personal, professional and workplace factors that contribute to burnout in Australian midwives. </w:t>
      </w:r>
      <w:r w:rsidRPr="00507FE1">
        <w:rPr>
          <w:rFonts w:ascii="Calibri" w:eastAsia="Times New Roman" w:hAnsi="Calibri" w:cs="Calibri"/>
          <w:i/>
          <w:iCs/>
          <w:color w:val="000000" w:themeColor="text1"/>
          <w:kern w:val="0"/>
          <w:sz w:val="22"/>
          <w:szCs w:val="22"/>
          <w:lang w:eastAsia="en-GB"/>
          <w14:ligatures w14:val="none"/>
        </w:rPr>
        <w:t>Journal of Advanced Nursing, 74</w:t>
      </w:r>
      <w:r w:rsidRPr="00507FE1">
        <w:rPr>
          <w:rFonts w:ascii="Calibri" w:eastAsia="Times New Roman" w:hAnsi="Calibri" w:cs="Calibri"/>
          <w:color w:val="000000" w:themeColor="text1"/>
          <w:kern w:val="0"/>
          <w:sz w:val="22"/>
          <w:szCs w:val="22"/>
          <w:lang w:eastAsia="en-GB"/>
          <w14:ligatures w14:val="none"/>
        </w:rPr>
        <w:t>(4), 852–863. https://doi.org/10.1111/jan.13491</w:t>
      </w:r>
    </w:p>
    <w:p w14:paraId="652C5224"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Gander, P., O’Keeffe, K., Santos-Fernandez, E., Huntington, A., Walker, L., &amp; Willis, J. (2019). Fatigue and nurses’ work patterns: An online questionnaire survey. </w:t>
      </w:r>
      <w:r w:rsidRPr="00507FE1">
        <w:rPr>
          <w:rFonts w:ascii="Calibri" w:eastAsia="Times New Roman" w:hAnsi="Calibri" w:cs="Calibri"/>
          <w:i/>
          <w:iCs/>
          <w:color w:val="000000" w:themeColor="text1"/>
          <w:kern w:val="0"/>
          <w:sz w:val="22"/>
          <w:szCs w:val="22"/>
          <w:lang w:eastAsia="en-GB"/>
          <w14:ligatures w14:val="none"/>
        </w:rPr>
        <w:t>International Journal of Nursing Studies, 98</w:t>
      </w:r>
      <w:r w:rsidRPr="00507FE1">
        <w:rPr>
          <w:rFonts w:ascii="Calibri" w:eastAsia="Times New Roman" w:hAnsi="Calibri" w:cs="Calibri"/>
          <w:color w:val="000000" w:themeColor="text1"/>
          <w:kern w:val="0"/>
          <w:sz w:val="22"/>
          <w:szCs w:val="22"/>
          <w:lang w:eastAsia="en-GB"/>
          <w14:ligatures w14:val="none"/>
        </w:rPr>
        <w:t>, 67–74. https://doi.org/10.1016/j.ijnurstu.2019.06.011</w:t>
      </w:r>
    </w:p>
    <w:p w14:paraId="7ECD94D9"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t>Geerligs</w:t>
      </w:r>
      <w:proofErr w:type="spellEnd"/>
      <w:r w:rsidRPr="00507FE1">
        <w:rPr>
          <w:rFonts w:ascii="Calibri" w:eastAsia="Times New Roman" w:hAnsi="Calibri" w:cs="Calibri"/>
          <w:color w:val="000000" w:themeColor="text1"/>
          <w:kern w:val="0"/>
          <w:sz w:val="22"/>
          <w:szCs w:val="22"/>
          <w:lang w:eastAsia="en-GB"/>
          <w14:ligatures w14:val="none"/>
        </w:rPr>
        <w:t xml:space="preserve">, L., Rankin, N. M., Shepherd, H. L., &amp; </w:t>
      </w:r>
      <w:proofErr w:type="spellStart"/>
      <w:r w:rsidRPr="00507FE1">
        <w:rPr>
          <w:rFonts w:ascii="Calibri" w:eastAsia="Times New Roman" w:hAnsi="Calibri" w:cs="Calibri"/>
          <w:color w:val="000000" w:themeColor="text1"/>
          <w:kern w:val="0"/>
          <w:sz w:val="22"/>
          <w:szCs w:val="22"/>
          <w:lang w:eastAsia="en-GB"/>
          <w14:ligatures w14:val="none"/>
        </w:rPr>
        <w:t>Butow</w:t>
      </w:r>
      <w:proofErr w:type="spellEnd"/>
      <w:r w:rsidRPr="00507FE1">
        <w:rPr>
          <w:rFonts w:ascii="Calibri" w:eastAsia="Times New Roman" w:hAnsi="Calibri" w:cs="Calibri"/>
          <w:color w:val="000000" w:themeColor="text1"/>
          <w:kern w:val="0"/>
          <w:sz w:val="22"/>
          <w:szCs w:val="22"/>
          <w:lang w:eastAsia="en-GB"/>
          <w14:ligatures w14:val="none"/>
        </w:rPr>
        <w:t xml:space="preserve">, P. (2018). Hospital-based interventions: a systematic review of staff-reported barriers and facilitators to implementation processes. </w:t>
      </w:r>
      <w:r w:rsidRPr="00507FE1">
        <w:rPr>
          <w:rFonts w:ascii="Calibri" w:eastAsia="Times New Roman" w:hAnsi="Calibri" w:cs="Calibri"/>
          <w:i/>
          <w:iCs/>
          <w:color w:val="000000" w:themeColor="text1"/>
          <w:kern w:val="0"/>
          <w:sz w:val="22"/>
          <w:szCs w:val="22"/>
          <w:lang w:eastAsia="en-GB"/>
          <w14:ligatures w14:val="none"/>
        </w:rPr>
        <w:t xml:space="preserve">Implementation </w:t>
      </w:r>
      <w:proofErr w:type="gramStart"/>
      <w:r w:rsidRPr="00507FE1">
        <w:rPr>
          <w:rFonts w:ascii="Calibri" w:eastAsia="Times New Roman" w:hAnsi="Calibri" w:cs="Calibri"/>
          <w:i/>
          <w:iCs/>
          <w:color w:val="000000" w:themeColor="text1"/>
          <w:kern w:val="0"/>
          <w:sz w:val="22"/>
          <w:szCs w:val="22"/>
          <w:lang w:eastAsia="en-GB"/>
          <w14:ligatures w14:val="none"/>
        </w:rPr>
        <w:t>Science :</w:t>
      </w:r>
      <w:proofErr w:type="gramEnd"/>
      <w:r w:rsidRPr="00507FE1">
        <w:rPr>
          <w:rFonts w:ascii="Calibri" w:eastAsia="Times New Roman" w:hAnsi="Calibri" w:cs="Calibri"/>
          <w:i/>
          <w:iCs/>
          <w:color w:val="000000" w:themeColor="text1"/>
          <w:kern w:val="0"/>
          <w:sz w:val="22"/>
          <w:szCs w:val="22"/>
          <w:lang w:eastAsia="en-GB"/>
          <w14:ligatures w14:val="none"/>
        </w:rPr>
        <w:t xml:space="preserve"> IS, 13</w:t>
      </w:r>
      <w:r w:rsidRPr="00507FE1">
        <w:rPr>
          <w:rFonts w:ascii="Calibri" w:eastAsia="Times New Roman" w:hAnsi="Calibri" w:cs="Calibri"/>
          <w:color w:val="000000" w:themeColor="text1"/>
          <w:kern w:val="0"/>
          <w:sz w:val="22"/>
          <w:szCs w:val="22"/>
          <w:lang w:eastAsia="en-GB"/>
          <w14:ligatures w14:val="none"/>
        </w:rPr>
        <w:t>(1), 36–36. https://doi.org/10.1186/s13012-018-0726-9</w:t>
      </w:r>
    </w:p>
    <w:p w14:paraId="7B8A4C77" w14:textId="77777777" w:rsidR="001F7DC6" w:rsidRPr="00507FE1" w:rsidRDefault="001F7DC6" w:rsidP="001F7DC6">
      <w:pPr>
        <w:ind w:left="709" w:hanging="720"/>
        <w:rPr>
          <w:rFonts w:ascii="Calibri" w:hAnsi="Calibri" w:cs="Calibri"/>
          <w:color w:val="000000" w:themeColor="text1"/>
          <w:sz w:val="22"/>
          <w:szCs w:val="22"/>
        </w:rPr>
      </w:pPr>
      <w:proofErr w:type="spellStart"/>
      <w:r w:rsidRPr="00507FE1">
        <w:rPr>
          <w:rFonts w:ascii="Calibri" w:hAnsi="Calibri" w:cs="Calibri"/>
          <w:color w:val="000000" w:themeColor="text1"/>
          <w:sz w:val="22"/>
          <w:szCs w:val="22"/>
        </w:rPr>
        <w:t>Gifkins</w:t>
      </w:r>
      <w:proofErr w:type="spellEnd"/>
      <w:r w:rsidRPr="00507FE1">
        <w:rPr>
          <w:rFonts w:ascii="Calibri" w:hAnsi="Calibri" w:cs="Calibri"/>
          <w:color w:val="000000" w:themeColor="text1"/>
          <w:sz w:val="22"/>
          <w:szCs w:val="22"/>
        </w:rPr>
        <w:t xml:space="preserve">, J., Johnston, A., Loudoun, R., &amp; Troth, A. (2020). Fatigue and recovery in </w:t>
      </w:r>
      <w:proofErr w:type="spellStart"/>
      <w:r w:rsidRPr="00507FE1">
        <w:rPr>
          <w:rFonts w:ascii="Calibri" w:hAnsi="Calibri" w:cs="Calibri"/>
          <w:color w:val="000000" w:themeColor="text1"/>
          <w:sz w:val="22"/>
          <w:szCs w:val="22"/>
        </w:rPr>
        <w:t>shiftworking</w:t>
      </w:r>
      <w:proofErr w:type="spellEnd"/>
      <w:r w:rsidRPr="00507FE1">
        <w:rPr>
          <w:rFonts w:ascii="Calibri" w:hAnsi="Calibri" w:cs="Calibri"/>
          <w:color w:val="000000" w:themeColor="text1"/>
          <w:sz w:val="22"/>
          <w:szCs w:val="22"/>
        </w:rPr>
        <w:t xml:space="preserve"> nurses: A scoping literature review. </w:t>
      </w:r>
      <w:r w:rsidRPr="00507FE1">
        <w:rPr>
          <w:rFonts w:ascii="Calibri" w:hAnsi="Calibri" w:cs="Calibri"/>
          <w:i/>
          <w:iCs/>
          <w:color w:val="000000" w:themeColor="text1"/>
          <w:sz w:val="22"/>
          <w:szCs w:val="22"/>
        </w:rPr>
        <w:t>International Journal of Nursing Studies, 112</w:t>
      </w:r>
      <w:r w:rsidRPr="00507FE1">
        <w:rPr>
          <w:rFonts w:ascii="Calibri" w:hAnsi="Calibri" w:cs="Calibri"/>
          <w:color w:val="000000" w:themeColor="text1"/>
          <w:sz w:val="22"/>
          <w:szCs w:val="22"/>
        </w:rPr>
        <w:t xml:space="preserve">, 103710–103710. </w:t>
      </w:r>
      <w:hyperlink r:id="rId4" w:history="1">
        <w:r w:rsidRPr="00507FE1">
          <w:rPr>
            <w:rStyle w:val="Hyperlink"/>
            <w:rFonts w:ascii="Calibri" w:hAnsi="Calibri" w:cs="Calibri"/>
            <w:color w:val="000000" w:themeColor="text1"/>
            <w:sz w:val="22"/>
            <w:szCs w:val="22"/>
            <w:u w:val="none"/>
          </w:rPr>
          <w:t>https://doi.org/10.1016/j.ijnurstu.2020.103710</w:t>
        </w:r>
      </w:hyperlink>
    </w:p>
    <w:p w14:paraId="557E2E35" w14:textId="38A687CF"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Griffiths, P., </w:t>
      </w:r>
      <w:proofErr w:type="spellStart"/>
      <w:r w:rsidRPr="00507FE1">
        <w:rPr>
          <w:rFonts w:ascii="Calibri" w:eastAsia="Times New Roman" w:hAnsi="Calibri" w:cs="Calibri"/>
          <w:color w:val="000000" w:themeColor="text1"/>
          <w:kern w:val="0"/>
          <w:sz w:val="22"/>
          <w:szCs w:val="22"/>
          <w:lang w:eastAsia="en-GB"/>
          <w14:ligatures w14:val="none"/>
        </w:rPr>
        <w:t>Dall’Ora</w:t>
      </w:r>
      <w:proofErr w:type="spellEnd"/>
      <w:r w:rsidRPr="00507FE1">
        <w:rPr>
          <w:rFonts w:ascii="Calibri" w:eastAsia="Times New Roman" w:hAnsi="Calibri" w:cs="Calibri"/>
          <w:color w:val="000000" w:themeColor="text1"/>
          <w:kern w:val="0"/>
          <w:sz w:val="22"/>
          <w:szCs w:val="22"/>
          <w:lang w:eastAsia="en-GB"/>
          <w14:ligatures w14:val="none"/>
        </w:rPr>
        <w:t xml:space="preserve">, C., Simon, M., Ball, J., Lindqvist, R., Rafferty, A.-M., Schoonhoven, L., </w:t>
      </w:r>
      <w:proofErr w:type="spellStart"/>
      <w:r w:rsidRPr="00507FE1">
        <w:rPr>
          <w:rFonts w:ascii="Calibri" w:eastAsia="Times New Roman" w:hAnsi="Calibri" w:cs="Calibri"/>
          <w:color w:val="000000" w:themeColor="text1"/>
          <w:kern w:val="0"/>
          <w:sz w:val="22"/>
          <w:szCs w:val="22"/>
          <w:lang w:eastAsia="en-GB"/>
          <w14:ligatures w14:val="none"/>
        </w:rPr>
        <w:t>Tishelman</w:t>
      </w:r>
      <w:proofErr w:type="spellEnd"/>
      <w:r w:rsidRPr="00507FE1">
        <w:rPr>
          <w:rFonts w:ascii="Calibri" w:eastAsia="Times New Roman" w:hAnsi="Calibri" w:cs="Calibri"/>
          <w:color w:val="000000" w:themeColor="text1"/>
          <w:kern w:val="0"/>
          <w:sz w:val="22"/>
          <w:szCs w:val="22"/>
          <w:lang w:eastAsia="en-GB"/>
          <w14:ligatures w14:val="none"/>
        </w:rPr>
        <w:t xml:space="preserve">, C., &amp; Aiken, L. H. (2014). Nurses’ shift length and overtime working in 12 European countries: The association with perceived quality of care and patient safety. </w:t>
      </w:r>
      <w:r w:rsidRPr="00507FE1">
        <w:rPr>
          <w:rFonts w:ascii="Calibri" w:eastAsia="Times New Roman" w:hAnsi="Calibri" w:cs="Calibri"/>
          <w:i/>
          <w:iCs/>
          <w:color w:val="000000" w:themeColor="text1"/>
          <w:kern w:val="0"/>
          <w:sz w:val="22"/>
          <w:szCs w:val="22"/>
          <w:lang w:eastAsia="en-GB"/>
          <w14:ligatures w14:val="none"/>
        </w:rPr>
        <w:t>Medical Care, 52</w:t>
      </w:r>
      <w:r w:rsidRPr="00507FE1">
        <w:rPr>
          <w:rFonts w:ascii="Calibri" w:eastAsia="Times New Roman" w:hAnsi="Calibri" w:cs="Calibri"/>
          <w:color w:val="000000" w:themeColor="text1"/>
          <w:kern w:val="0"/>
          <w:sz w:val="22"/>
          <w:szCs w:val="22"/>
          <w:lang w:eastAsia="en-GB"/>
          <w14:ligatures w14:val="none"/>
        </w:rPr>
        <w:t>(11), 975–981. https://doi.org/10.1097/MLR.0000000000000233</w:t>
      </w:r>
    </w:p>
    <w:p w14:paraId="22F05A12"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Henriksen, L. &amp; </w:t>
      </w:r>
      <w:proofErr w:type="spellStart"/>
      <w:r w:rsidRPr="00507FE1">
        <w:rPr>
          <w:rFonts w:ascii="Calibri" w:eastAsia="Times New Roman" w:hAnsi="Calibri" w:cs="Calibri"/>
          <w:color w:val="000000" w:themeColor="text1"/>
          <w:kern w:val="0"/>
          <w:sz w:val="22"/>
          <w:szCs w:val="22"/>
          <w:lang w:eastAsia="en-GB"/>
          <w14:ligatures w14:val="none"/>
        </w:rPr>
        <w:t>Lukasse</w:t>
      </w:r>
      <w:proofErr w:type="spellEnd"/>
      <w:r w:rsidRPr="00507FE1">
        <w:rPr>
          <w:rFonts w:ascii="Calibri" w:eastAsia="Times New Roman" w:hAnsi="Calibri" w:cs="Calibri"/>
          <w:color w:val="000000" w:themeColor="text1"/>
          <w:kern w:val="0"/>
          <w:sz w:val="22"/>
          <w:szCs w:val="22"/>
          <w:lang w:eastAsia="en-GB"/>
          <w14:ligatures w14:val="none"/>
        </w:rPr>
        <w:t xml:space="preserve">, M. (2016). Burnout among Norwegian midwives and the contribution of personal and work-related factors: A cross-sectional study. </w:t>
      </w:r>
      <w:r w:rsidRPr="00507FE1">
        <w:rPr>
          <w:rFonts w:ascii="Calibri" w:eastAsia="Times New Roman" w:hAnsi="Calibri" w:cs="Calibri"/>
          <w:i/>
          <w:iCs/>
          <w:color w:val="000000" w:themeColor="text1"/>
          <w:kern w:val="0"/>
          <w:sz w:val="22"/>
          <w:szCs w:val="22"/>
          <w:lang w:eastAsia="en-GB"/>
          <w14:ligatures w14:val="none"/>
        </w:rPr>
        <w:t>Sexual &amp; Reproductive Healthcare, 9</w:t>
      </w:r>
      <w:r w:rsidRPr="00507FE1">
        <w:rPr>
          <w:rFonts w:ascii="Calibri" w:eastAsia="Times New Roman" w:hAnsi="Calibri" w:cs="Calibri"/>
          <w:color w:val="000000" w:themeColor="text1"/>
          <w:kern w:val="0"/>
          <w:sz w:val="22"/>
          <w:szCs w:val="22"/>
          <w:lang w:eastAsia="en-GB"/>
          <w14:ligatures w14:val="none"/>
        </w:rPr>
        <w:t>, 42–47. https://doi.org/10.1016/j.srhc.2016.08.001</w:t>
      </w:r>
    </w:p>
    <w:p w14:paraId="4541C5F4"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lastRenderedPageBreak/>
        <w:t xml:space="preserve">Holland, P., </w:t>
      </w:r>
      <w:proofErr w:type="spellStart"/>
      <w:r w:rsidRPr="00507FE1">
        <w:rPr>
          <w:rFonts w:ascii="Calibri" w:eastAsia="Times New Roman" w:hAnsi="Calibri" w:cs="Calibri"/>
          <w:color w:val="000000" w:themeColor="text1"/>
          <w:kern w:val="0"/>
          <w:sz w:val="22"/>
          <w:szCs w:val="22"/>
          <w:lang w:eastAsia="en-GB"/>
          <w14:ligatures w14:val="none"/>
        </w:rPr>
        <w:t>Tham</w:t>
      </w:r>
      <w:proofErr w:type="spellEnd"/>
      <w:r w:rsidRPr="00507FE1">
        <w:rPr>
          <w:rFonts w:ascii="Calibri" w:eastAsia="Times New Roman" w:hAnsi="Calibri" w:cs="Calibri"/>
          <w:color w:val="000000" w:themeColor="text1"/>
          <w:kern w:val="0"/>
          <w:sz w:val="22"/>
          <w:szCs w:val="22"/>
          <w:lang w:eastAsia="en-GB"/>
          <w14:ligatures w14:val="none"/>
        </w:rPr>
        <w:t xml:space="preserve">, T. L., Sheehan, C., &amp; Cooper, B. (2019). The impact of perceived workload on nurse satisfaction with work-life balance and intention to leave the occupation. </w:t>
      </w:r>
      <w:r w:rsidRPr="00507FE1">
        <w:rPr>
          <w:rFonts w:ascii="Calibri" w:eastAsia="Times New Roman" w:hAnsi="Calibri" w:cs="Calibri"/>
          <w:i/>
          <w:iCs/>
          <w:color w:val="000000" w:themeColor="text1"/>
          <w:kern w:val="0"/>
          <w:sz w:val="22"/>
          <w:szCs w:val="22"/>
          <w:lang w:eastAsia="en-GB"/>
          <w14:ligatures w14:val="none"/>
        </w:rPr>
        <w:t>Applied Nursing Research, 49</w:t>
      </w:r>
      <w:r w:rsidRPr="00507FE1">
        <w:rPr>
          <w:rFonts w:ascii="Calibri" w:eastAsia="Times New Roman" w:hAnsi="Calibri" w:cs="Calibri"/>
          <w:color w:val="000000" w:themeColor="text1"/>
          <w:kern w:val="0"/>
          <w:sz w:val="22"/>
          <w:szCs w:val="22"/>
          <w:lang w:eastAsia="en-GB"/>
          <w14:ligatures w14:val="none"/>
        </w:rPr>
        <w:t>, 70–76. https://doi.org/10.1016/j.apnr.2019.06.001</w:t>
      </w:r>
    </w:p>
    <w:p w14:paraId="3CEBE375"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t>Klyve</w:t>
      </w:r>
      <w:proofErr w:type="spellEnd"/>
      <w:r w:rsidRPr="00507FE1">
        <w:rPr>
          <w:rFonts w:ascii="Calibri" w:eastAsia="Times New Roman" w:hAnsi="Calibri" w:cs="Calibri"/>
          <w:color w:val="000000" w:themeColor="text1"/>
          <w:kern w:val="0"/>
          <w:sz w:val="22"/>
          <w:szCs w:val="22"/>
          <w:lang w:eastAsia="en-GB"/>
          <w14:ligatures w14:val="none"/>
        </w:rPr>
        <w:t xml:space="preserve">, K., </w:t>
      </w:r>
      <w:proofErr w:type="spellStart"/>
      <w:r w:rsidRPr="00507FE1">
        <w:rPr>
          <w:rFonts w:ascii="Calibri" w:eastAsia="Times New Roman" w:hAnsi="Calibri" w:cs="Calibri"/>
          <w:color w:val="000000" w:themeColor="text1"/>
          <w:kern w:val="0"/>
          <w:sz w:val="22"/>
          <w:szCs w:val="22"/>
          <w:lang w:eastAsia="en-GB"/>
          <w14:ligatures w14:val="none"/>
        </w:rPr>
        <w:t>Senthooran</w:t>
      </w:r>
      <w:proofErr w:type="spellEnd"/>
      <w:r w:rsidRPr="00507FE1">
        <w:rPr>
          <w:rFonts w:ascii="Calibri" w:eastAsia="Times New Roman" w:hAnsi="Calibri" w:cs="Calibri"/>
          <w:color w:val="000000" w:themeColor="text1"/>
          <w:kern w:val="0"/>
          <w:sz w:val="22"/>
          <w:szCs w:val="22"/>
          <w:lang w:eastAsia="en-GB"/>
          <w14:ligatures w14:val="none"/>
        </w:rPr>
        <w:t>, I., &amp; Wallace, M. (2023). Nurse rostering with fatigue modelling: Incorporating a validated sleep model with biological variations in nurse rostering</w:t>
      </w:r>
      <w:r w:rsidRPr="00507FE1">
        <w:rPr>
          <w:rFonts w:ascii="Calibri" w:eastAsia="Times New Roman" w:hAnsi="Calibri" w:cs="Calibri"/>
          <w:i/>
          <w:iCs/>
          <w:color w:val="000000" w:themeColor="text1"/>
          <w:kern w:val="0"/>
          <w:sz w:val="22"/>
          <w:szCs w:val="22"/>
          <w:lang w:eastAsia="en-GB"/>
          <w14:ligatures w14:val="none"/>
        </w:rPr>
        <w:t>. Health Care Management Science, 26(</w:t>
      </w:r>
      <w:r w:rsidRPr="00507FE1">
        <w:rPr>
          <w:rFonts w:ascii="Calibri" w:eastAsia="Times New Roman" w:hAnsi="Calibri" w:cs="Calibri"/>
          <w:color w:val="000000" w:themeColor="text1"/>
          <w:kern w:val="0"/>
          <w:sz w:val="22"/>
          <w:szCs w:val="22"/>
          <w:lang w:eastAsia="en-GB"/>
          <w14:ligatures w14:val="none"/>
        </w:rPr>
        <w:t>1), 21–45. https://doi.org/10.1007/s10729-022-09613-4</w:t>
      </w:r>
    </w:p>
    <w:p w14:paraId="5C5CD8A6" w14:textId="50E3D7EE" w:rsidR="00507FE1" w:rsidRPr="00507FE1" w:rsidRDefault="00507FE1" w:rsidP="00507FE1">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Li, W., Zhang, J., &amp; Kearney, P. (2023). Psychophysiological coherence training to moderate air traffic controllers’ fatigue on rotating roster. Risk Analysis, 43(2), 391–404. https://doi.org/10.1111/risa.13899</w:t>
      </w:r>
    </w:p>
    <w:p w14:paraId="51170FA8" w14:textId="2F61F766"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t>Lowson</w:t>
      </w:r>
      <w:proofErr w:type="spellEnd"/>
      <w:r w:rsidRPr="00507FE1">
        <w:rPr>
          <w:rFonts w:ascii="Calibri" w:eastAsia="Times New Roman" w:hAnsi="Calibri" w:cs="Calibri"/>
          <w:color w:val="000000" w:themeColor="text1"/>
          <w:kern w:val="0"/>
          <w:sz w:val="22"/>
          <w:szCs w:val="22"/>
          <w:lang w:eastAsia="en-GB"/>
          <w14:ligatures w14:val="none"/>
        </w:rPr>
        <w:t>, E., &amp; Arber, S. (2014). Preparing, working, recovering: Gendered experiences of night work among women and their families</w:t>
      </w:r>
      <w:r w:rsidRPr="00507FE1">
        <w:rPr>
          <w:rFonts w:ascii="Calibri" w:eastAsia="Times New Roman" w:hAnsi="Calibri" w:cs="Calibri"/>
          <w:i/>
          <w:iCs/>
          <w:color w:val="000000" w:themeColor="text1"/>
          <w:kern w:val="0"/>
          <w:sz w:val="22"/>
          <w:szCs w:val="22"/>
          <w:lang w:eastAsia="en-GB"/>
          <w14:ligatures w14:val="none"/>
        </w:rPr>
        <w:t>. Gender, Work, and Organization, 21</w:t>
      </w:r>
      <w:r w:rsidRPr="00507FE1">
        <w:rPr>
          <w:rFonts w:ascii="Calibri" w:eastAsia="Times New Roman" w:hAnsi="Calibri" w:cs="Calibri"/>
          <w:color w:val="000000" w:themeColor="text1"/>
          <w:kern w:val="0"/>
          <w:sz w:val="22"/>
          <w:szCs w:val="22"/>
          <w:lang w:eastAsia="en-GB"/>
          <w14:ligatures w14:val="none"/>
        </w:rPr>
        <w:t>(3), 231–243. https://doi.org/10.1111/gwao.12032</w:t>
      </w:r>
    </w:p>
    <w:p w14:paraId="00242546"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t>Maglalang</w:t>
      </w:r>
      <w:proofErr w:type="spellEnd"/>
      <w:r w:rsidRPr="00507FE1">
        <w:rPr>
          <w:rFonts w:ascii="Calibri" w:eastAsia="Times New Roman" w:hAnsi="Calibri" w:cs="Calibri"/>
          <w:color w:val="000000" w:themeColor="text1"/>
          <w:kern w:val="0"/>
          <w:sz w:val="22"/>
          <w:szCs w:val="22"/>
          <w:lang w:eastAsia="en-GB"/>
          <w14:ligatures w14:val="none"/>
        </w:rPr>
        <w:t xml:space="preserve">, D., Sorensen, G., </w:t>
      </w:r>
      <w:proofErr w:type="spellStart"/>
      <w:r w:rsidRPr="00507FE1">
        <w:rPr>
          <w:rFonts w:ascii="Calibri" w:eastAsia="Times New Roman" w:hAnsi="Calibri" w:cs="Calibri"/>
          <w:color w:val="000000" w:themeColor="text1"/>
          <w:kern w:val="0"/>
          <w:sz w:val="22"/>
          <w:szCs w:val="22"/>
          <w:lang w:eastAsia="en-GB"/>
          <w14:ligatures w14:val="none"/>
        </w:rPr>
        <w:t>Hopcia</w:t>
      </w:r>
      <w:proofErr w:type="spellEnd"/>
      <w:r w:rsidRPr="00507FE1">
        <w:rPr>
          <w:rFonts w:ascii="Calibri" w:eastAsia="Times New Roman" w:hAnsi="Calibri" w:cs="Calibri"/>
          <w:color w:val="000000" w:themeColor="text1"/>
          <w:kern w:val="0"/>
          <w:sz w:val="22"/>
          <w:szCs w:val="22"/>
          <w:lang w:eastAsia="en-GB"/>
          <w14:ligatures w14:val="none"/>
        </w:rPr>
        <w:t xml:space="preserve">, K., Hashimoto, D. M., </w:t>
      </w:r>
      <w:proofErr w:type="spellStart"/>
      <w:r w:rsidRPr="00507FE1">
        <w:rPr>
          <w:rFonts w:ascii="Calibri" w:eastAsia="Times New Roman" w:hAnsi="Calibri" w:cs="Calibri"/>
          <w:color w:val="000000" w:themeColor="text1"/>
          <w:kern w:val="0"/>
          <w:sz w:val="22"/>
          <w:szCs w:val="22"/>
          <w:lang w:eastAsia="en-GB"/>
          <w14:ligatures w14:val="none"/>
        </w:rPr>
        <w:t>Katigbak</w:t>
      </w:r>
      <w:proofErr w:type="spellEnd"/>
      <w:r w:rsidRPr="00507FE1">
        <w:rPr>
          <w:rFonts w:ascii="Calibri" w:eastAsia="Times New Roman" w:hAnsi="Calibri" w:cs="Calibri"/>
          <w:color w:val="000000" w:themeColor="text1"/>
          <w:kern w:val="0"/>
          <w:sz w:val="22"/>
          <w:szCs w:val="22"/>
          <w:lang w:eastAsia="en-GB"/>
          <w14:ligatures w14:val="none"/>
        </w:rPr>
        <w:t xml:space="preserve">, C., Pandey, S., Takeuchi, D., &amp; Sabbath, E. L. (2021). Job and family demands and burnout among healthcare workers: The moderating role of workplace flexibility. </w:t>
      </w:r>
      <w:r w:rsidRPr="00507FE1">
        <w:rPr>
          <w:rFonts w:ascii="Calibri" w:eastAsia="Times New Roman" w:hAnsi="Calibri" w:cs="Calibri"/>
          <w:i/>
          <w:iCs/>
          <w:color w:val="000000" w:themeColor="text1"/>
          <w:kern w:val="0"/>
          <w:sz w:val="22"/>
          <w:szCs w:val="22"/>
          <w:lang w:eastAsia="en-GB"/>
          <w14:ligatures w14:val="none"/>
        </w:rPr>
        <w:t>SSM - Population Health, 14</w:t>
      </w:r>
      <w:r w:rsidRPr="00507FE1">
        <w:rPr>
          <w:rFonts w:ascii="Calibri" w:eastAsia="Times New Roman" w:hAnsi="Calibri" w:cs="Calibri"/>
          <w:color w:val="000000" w:themeColor="text1"/>
          <w:kern w:val="0"/>
          <w:sz w:val="22"/>
          <w:szCs w:val="22"/>
          <w:lang w:eastAsia="en-GB"/>
          <w14:ligatures w14:val="none"/>
        </w:rPr>
        <w:t xml:space="preserve">, 100802–100802. </w:t>
      </w:r>
      <w:hyperlink r:id="rId5" w:history="1">
        <w:r w:rsidRPr="00507FE1">
          <w:rPr>
            <w:rStyle w:val="Hyperlink"/>
            <w:rFonts w:ascii="Calibri" w:eastAsia="Times New Roman" w:hAnsi="Calibri" w:cs="Calibri"/>
            <w:color w:val="000000" w:themeColor="text1"/>
            <w:kern w:val="0"/>
            <w:sz w:val="22"/>
            <w:szCs w:val="22"/>
            <w:u w:val="none"/>
            <w:lang w:eastAsia="en-GB"/>
            <w14:ligatures w14:val="none"/>
          </w:rPr>
          <w:t>https://doi.org/10.1016/j.ssmph.2021.100802</w:t>
        </w:r>
      </w:hyperlink>
    </w:p>
    <w:p w14:paraId="4896A82A"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Mohammad, D. D., Al-Reda, A. N., </w:t>
      </w:r>
      <w:proofErr w:type="spellStart"/>
      <w:r w:rsidRPr="00507FE1">
        <w:rPr>
          <w:rFonts w:ascii="Calibri" w:eastAsia="Times New Roman" w:hAnsi="Calibri" w:cs="Calibri"/>
          <w:color w:val="000000" w:themeColor="text1"/>
          <w:kern w:val="0"/>
          <w:sz w:val="22"/>
          <w:szCs w:val="22"/>
          <w:lang w:eastAsia="en-GB"/>
          <w14:ligatures w14:val="none"/>
        </w:rPr>
        <w:t>Aldalaykeh</w:t>
      </w:r>
      <w:proofErr w:type="spellEnd"/>
      <w:r w:rsidRPr="00507FE1">
        <w:rPr>
          <w:rFonts w:ascii="Calibri" w:eastAsia="Times New Roman" w:hAnsi="Calibri" w:cs="Calibri"/>
          <w:color w:val="000000" w:themeColor="text1"/>
          <w:kern w:val="0"/>
          <w:sz w:val="22"/>
          <w:szCs w:val="22"/>
          <w:lang w:eastAsia="en-GB"/>
          <w14:ligatures w14:val="none"/>
        </w:rPr>
        <w:t xml:space="preserve">, M., </w:t>
      </w:r>
      <w:proofErr w:type="spellStart"/>
      <w:r w:rsidRPr="00507FE1">
        <w:rPr>
          <w:rFonts w:ascii="Calibri" w:eastAsia="Times New Roman" w:hAnsi="Calibri" w:cs="Calibri"/>
          <w:color w:val="000000" w:themeColor="text1"/>
          <w:kern w:val="0"/>
          <w:sz w:val="22"/>
          <w:szCs w:val="22"/>
          <w:lang w:eastAsia="en-GB"/>
          <w14:ligatures w14:val="none"/>
        </w:rPr>
        <w:t>Hayajneh</w:t>
      </w:r>
      <w:proofErr w:type="spellEnd"/>
      <w:r w:rsidRPr="00507FE1">
        <w:rPr>
          <w:rFonts w:ascii="Calibri" w:eastAsia="Times New Roman" w:hAnsi="Calibri" w:cs="Calibri"/>
          <w:color w:val="000000" w:themeColor="text1"/>
          <w:kern w:val="0"/>
          <w:sz w:val="22"/>
          <w:szCs w:val="22"/>
          <w:lang w:eastAsia="en-GB"/>
          <w14:ligatures w14:val="none"/>
        </w:rPr>
        <w:t xml:space="preserve">, W., </w:t>
      </w:r>
      <w:proofErr w:type="spellStart"/>
      <w:r w:rsidRPr="00507FE1">
        <w:rPr>
          <w:rFonts w:ascii="Calibri" w:eastAsia="Times New Roman" w:hAnsi="Calibri" w:cs="Calibri"/>
          <w:color w:val="000000" w:themeColor="text1"/>
          <w:kern w:val="0"/>
          <w:sz w:val="22"/>
          <w:szCs w:val="22"/>
          <w:lang w:eastAsia="en-GB"/>
          <w14:ligatures w14:val="none"/>
        </w:rPr>
        <w:t>Alafi</w:t>
      </w:r>
      <w:proofErr w:type="spellEnd"/>
      <w:r w:rsidRPr="00507FE1">
        <w:rPr>
          <w:rFonts w:ascii="Calibri" w:eastAsia="Times New Roman" w:hAnsi="Calibri" w:cs="Calibri"/>
          <w:color w:val="000000" w:themeColor="text1"/>
          <w:kern w:val="0"/>
          <w:sz w:val="22"/>
          <w:szCs w:val="22"/>
          <w:lang w:eastAsia="en-GB"/>
          <w14:ligatures w14:val="none"/>
        </w:rPr>
        <w:t xml:space="preserve">, K. K., Creedy, D. K., &amp; Gamble, J. (2020). Personal, professional and workplace factors associated with burnout in Jordanian midwives: A national study. </w:t>
      </w:r>
      <w:r w:rsidRPr="00507FE1">
        <w:rPr>
          <w:rFonts w:ascii="Calibri" w:eastAsia="Times New Roman" w:hAnsi="Calibri" w:cs="Calibri"/>
          <w:i/>
          <w:iCs/>
          <w:color w:val="000000" w:themeColor="text1"/>
          <w:kern w:val="0"/>
          <w:sz w:val="22"/>
          <w:szCs w:val="22"/>
          <w:lang w:eastAsia="en-GB"/>
          <w14:ligatures w14:val="none"/>
        </w:rPr>
        <w:t>Midwifery, 89</w:t>
      </w:r>
      <w:r w:rsidRPr="00507FE1">
        <w:rPr>
          <w:rFonts w:ascii="Calibri" w:eastAsia="Times New Roman" w:hAnsi="Calibri" w:cs="Calibri"/>
          <w:color w:val="000000" w:themeColor="text1"/>
          <w:kern w:val="0"/>
          <w:sz w:val="22"/>
          <w:szCs w:val="22"/>
          <w:lang w:eastAsia="en-GB"/>
          <w14:ligatures w14:val="none"/>
        </w:rPr>
        <w:t>, 102786–102786. https://doi.org/10.1016/j.midw.2020.102786</w:t>
      </w:r>
    </w:p>
    <w:p w14:paraId="58B7A11A"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Mollart, L., Skinner, V. M., </w:t>
      </w:r>
      <w:proofErr w:type="spellStart"/>
      <w:r w:rsidRPr="00507FE1">
        <w:rPr>
          <w:rFonts w:ascii="Calibri" w:eastAsia="Times New Roman" w:hAnsi="Calibri" w:cs="Calibri"/>
          <w:color w:val="000000" w:themeColor="text1"/>
          <w:kern w:val="0"/>
          <w:sz w:val="22"/>
          <w:szCs w:val="22"/>
          <w:lang w:eastAsia="en-GB"/>
          <w14:ligatures w14:val="none"/>
        </w:rPr>
        <w:t>Newing</w:t>
      </w:r>
      <w:proofErr w:type="spellEnd"/>
      <w:r w:rsidRPr="00507FE1">
        <w:rPr>
          <w:rFonts w:ascii="Calibri" w:eastAsia="Times New Roman" w:hAnsi="Calibri" w:cs="Calibri"/>
          <w:color w:val="000000" w:themeColor="text1"/>
          <w:kern w:val="0"/>
          <w:sz w:val="22"/>
          <w:szCs w:val="22"/>
          <w:lang w:eastAsia="en-GB"/>
          <w14:ligatures w14:val="none"/>
        </w:rPr>
        <w:t xml:space="preserve">, C., &amp; Foureur, M. (2013). Factors that may influence midwives work-related stress and burnout. </w:t>
      </w:r>
      <w:r w:rsidRPr="00507FE1">
        <w:rPr>
          <w:rFonts w:ascii="Calibri" w:eastAsia="Times New Roman" w:hAnsi="Calibri" w:cs="Calibri"/>
          <w:i/>
          <w:iCs/>
          <w:color w:val="000000" w:themeColor="text1"/>
          <w:kern w:val="0"/>
          <w:sz w:val="22"/>
          <w:szCs w:val="22"/>
          <w:lang w:eastAsia="en-GB"/>
          <w14:ligatures w14:val="none"/>
        </w:rPr>
        <w:t xml:space="preserve">Women and </w:t>
      </w:r>
      <w:proofErr w:type="gramStart"/>
      <w:r w:rsidRPr="00507FE1">
        <w:rPr>
          <w:rFonts w:ascii="Calibri" w:eastAsia="Times New Roman" w:hAnsi="Calibri" w:cs="Calibri"/>
          <w:i/>
          <w:iCs/>
          <w:color w:val="000000" w:themeColor="text1"/>
          <w:kern w:val="0"/>
          <w:sz w:val="22"/>
          <w:szCs w:val="22"/>
          <w:lang w:eastAsia="en-GB"/>
          <w14:ligatures w14:val="none"/>
        </w:rPr>
        <w:t>Birth :</w:t>
      </w:r>
      <w:proofErr w:type="gramEnd"/>
      <w:r w:rsidRPr="00507FE1">
        <w:rPr>
          <w:rFonts w:ascii="Calibri" w:eastAsia="Times New Roman" w:hAnsi="Calibri" w:cs="Calibri"/>
          <w:i/>
          <w:iCs/>
          <w:color w:val="000000" w:themeColor="text1"/>
          <w:kern w:val="0"/>
          <w:sz w:val="22"/>
          <w:szCs w:val="22"/>
          <w:lang w:eastAsia="en-GB"/>
          <w14:ligatures w14:val="none"/>
        </w:rPr>
        <w:t xml:space="preserve"> Journal of the Australian College of Midwives, 26(</w:t>
      </w:r>
      <w:r w:rsidRPr="00507FE1">
        <w:rPr>
          <w:rFonts w:ascii="Calibri" w:eastAsia="Times New Roman" w:hAnsi="Calibri" w:cs="Calibri"/>
          <w:color w:val="000000" w:themeColor="text1"/>
          <w:kern w:val="0"/>
          <w:sz w:val="22"/>
          <w:szCs w:val="22"/>
          <w:lang w:eastAsia="en-GB"/>
          <w14:ligatures w14:val="none"/>
        </w:rPr>
        <w:t>1), 26–32. https://doi.org/10.1016/j.wombi.2011.08.002</w:t>
      </w:r>
    </w:p>
    <w:p w14:paraId="4960025A"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Moncrieff, G., Cheyne, H., Downe, S., &amp; Hunter, B. (2023). Factors that influence midwives’ leaving intentions: A moral imperative to intervene. </w:t>
      </w:r>
      <w:r w:rsidRPr="00507FE1">
        <w:rPr>
          <w:rFonts w:ascii="Calibri" w:eastAsia="Times New Roman" w:hAnsi="Calibri" w:cs="Calibri"/>
          <w:i/>
          <w:iCs/>
          <w:color w:val="000000" w:themeColor="text1"/>
          <w:kern w:val="0"/>
          <w:sz w:val="22"/>
          <w:szCs w:val="22"/>
          <w:lang w:eastAsia="en-GB"/>
          <w14:ligatures w14:val="none"/>
        </w:rPr>
        <w:t>Midwifery, 125</w:t>
      </w:r>
      <w:r w:rsidRPr="00507FE1">
        <w:rPr>
          <w:rFonts w:ascii="Calibri" w:eastAsia="Times New Roman" w:hAnsi="Calibri" w:cs="Calibri"/>
          <w:color w:val="000000" w:themeColor="text1"/>
          <w:kern w:val="0"/>
          <w:sz w:val="22"/>
          <w:szCs w:val="22"/>
          <w:lang w:eastAsia="en-GB"/>
          <w14:ligatures w14:val="none"/>
        </w:rPr>
        <w:t>, 103793–103793. https://doi.org/10.1016/j.midw.2023.103793</w:t>
      </w:r>
    </w:p>
    <w:p w14:paraId="55DCA5C3"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Nabe-Nielsen, K., Lund, H., </w:t>
      </w:r>
      <w:proofErr w:type="spellStart"/>
      <w:r w:rsidRPr="00507FE1">
        <w:rPr>
          <w:rFonts w:ascii="Calibri" w:eastAsia="Times New Roman" w:hAnsi="Calibri" w:cs="Calibri"/>
          <w:color w:val="000000" w:themeColor="text1"/>
          <w:kern w:val="0"/>
          <w:sz w:val="22"/>
          <w:szCs w:val="22"/>
          <w:lang w:eastAsia="en-GB"/>
          <w14:ligatures w14:val="none"/>
        </w:rPr>
        <w:t>Ajslev</w:t>
      </w:r>
      <w:proofErr w:type="spellEnd"/>
      <w:r w:rsidRPr="00507FE1">
        <w:rPr>
          <w:rFonts w:ascii="Calibri" w:eastAsia="Times New Roman" w:hAnsi="Calibri" w:cs="Calibri"/>
          <w:color w:val="000000" w:themeColor="text1"/>
          <w:kern w:val="0"/>
          <w:sz w:val="22"/>
          <w:szCs w:val="22"/>
          <w:lang w:eastAsia="en-GB"/>
          <w14:ligatures w14:val="none"/>
        </w:rPr>
        <w:t xml:space="preserve">, J. Z., Hansen, Å. M., </w:t>
      </w:r>
      <w:proofErr w:type="spellStart"/>
      <w:r w:rsidRPr="00507FE1">
        <w:rPr>
          <w:rFonts w:ascii="Calibri" w:eastAsia="Times New Roman" w:hAnsi="Calibri" w:cs="Calibri"/>
          <w:color w:val="000000" w:themeColor="text1"/>
          <w:kern w:val="0"/>
          <w:sz w:val="22"/>
          <w:szCs w:val="22"/>
          <w:lang w:eastAsia="en-GB"/>
          <w14:ligatures w14:val="none"/>
        </w:rPr>
        <w:t>Albertsen</w:t>
      </w:r>
      <w:proofErr w:type="spellEnd"/>
      <w:r w:rsidRPr="00507FE1">
        <w:rPr>
          <w:rFonts w:ascii="Calibri" w:eastAsia="Times New Roman" w:hAnsi="Calibri" w:cs="Calibri"/>
          <w:color w:val="000000" w:themeColor="text1"/>
          <w:kern w:val="0"/>
          <w:sz w:val="22"/>
          <w:szCs w:val="22"/>
          <w:lang w:eastAsia="en-GB"/>
          <w14:ligatures w14:val="none"/>
        </w:rPr>
        <w:t xml:space="preserve">, K., </w:t>
      </w:r>
      <w:proofErr w:type="spellStart"/>
      <w:r w:rsidRPr="00507FE1">
        <w:rPr>
          <w:rFonts w:ascii="Calibri" w:eastAsia="Times New Roman" w:hAnsi="Calibri" w:cs="Calibri"/>
          <w:color w:val="000000" w:themeColor="text1"/>
          <w:kern w:val="0"/>
          <w:sz w:val="22"/>
          <w:szCs w:val="22"/>
          <w:lang w:eastAsia="en-GB"/>
          <w14:ligatures w14:val="none"/>
        </w:rPr>
        <w:t>Hvid</w:t>
      </w:r>
      <w:proofErr w:type="spellEnd"/>
      <w:r w:rsidRPr="00507FE1">
        <w:rPr>
          <w:rFonts w:ascii="Calibri" w:eastAsia="Times New Roman" w:hAnsi="Calibri" w:cs="Calibri"/>
          <w:color w:val="000000" w:themeColor="text1"/>
          <w:kern w:val="0"/>
          <w:sz w:val="22"/>
          <w:szCs w:val="22"/>
          <w:lang w:eastAsia="en-GB"/>
          <w14:ligatures w14:val="none"/>
        </w:rPr>
        <w:t xml:space="preserve">, H., &amp; Garde, A. H. (2013). How do employees prioritise when they schedule their own shifts? </w:t>
      </w:r>
      <w:r w:rsidRPr="00507FE1">
        <w:rPr>
          <w:rFonts w:ascii="Calibri" w:eastAsia="Times New Roman" w:hAnsi="Calibri" w:cs="Calibri"/>
          <w:i/>
          <w:iCs/>
          <w:color w:val="000000" w:themeColor="text1"/>
          <w:kern w:val="0"/>
          <w:sz w:val="22"/>
          <w:szCs w:val="22"/>
          <w:lang w:eastAsia="en-GB"/>
          <w14:ligatures w14:val="none"/>
        </w:rPr>
        <w:t>Ergonomics, 56</w:t>
      </w:r>
      <w:r w:rsidRPr="00507FE1">
        <w:rPr>
          <w:rFonts w:ascii="Calibri" w:eastAsia="Times New Roman" w:hAnsi="Calibri" w:cs="Calibri"/>
          <w:color w:val="000000" w:themeColor="text1"/>
          <w:kern w:val="0"/>
          <w:sz w:val="22"/>
          <w:szCs w:val="22"/>
          <w:lang w:eastAsia="en-GB"/>
          <w14:ligatures w14:val="none"/>
        </w:rPr>
        <w:t>(8), 1216–1224. https://doi.org/10.1080/00140139.2013.815804</w:t>
      </w:r>
    </w:p>
    <w:p w14:paraId="261E10E0"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Nielsen, H., Hansen, Å. M., Conway, S. H., </w:t>
      </w:r>
      <w:proofErr w:type="spellStart"/>
      <w:r w:rsidRPr="00507FE1">
        <w:rPr>
          <w:rFonts w:ascii="Calibri" w:eastAsia="Times New Roman" w:hAnsi="Calibri" w:cs="Calibri"/>
          <w:color w:val="000000" w:themeColor="text1"/>
          <w:kern w:val="0"/>
          <w:sz w:val="22"/>
          <w:szCs w:val="22"/>
          <w:lang w:eastAsia="en-GB"/>
          <w14:ligatures w14:val="none"/>
        </w:rPr>
        <w:t>Dyreborg</w:t>
      </w:r>
      <w:proofErr w:type="spellEnd"/>
      <w:r w:rsidRPr="00507FE1">
        <w:rPr>
          <w:rFonts w:ascii="Calibri" w:eastAsia="Times New Roman" w:hAnsi="Calibri" w:cs="Calibri"/>
          <w:color w:val="000000" w:themeColor="text1"/>
          <w:kern w:val="0"/>
          <w:sz w:val="22"/>
          <w:szCs w:val="22"/>
          <w:lang w:eastAsia="en-GB"/>
          <w14:ligatures w14:val="none"/>
        </w:rPr>
        <w:t>, J., Hansen, J., Kolstad, H. A., Larsen, A. D., Nabe-Nielsen, K., Pompeii, L. A., &amp; Garde, A. H. (2019). Short time between shifts and risk of injury among Danish hospital workers: A register-</w:t>
      </w:r>
      <w:proofErr w:type="spellStart"/>
      <w:r w:rsidRPr="00507FE1">
        <w:rPr>
          <w:rFonts w:ascii="Calibri" w:eastAsia="Times New Roman" w:hAnsi="Calibri" w:cs="Calibri"/>
          <w:color w:val="000000" w:themeColor="text1"/>
          <w:kern w:val="0"/>
          <w:sz w:val="22"/>
          <w:szCs w:val="22"/>
          <w:lang w:eastAsia="en-GB"/>
          <w14:ligatures w14:val="none"/>
        </w:rPr>
        <w:t>rbased</w:t>
      </w:r>
      <w:proofErr w:type="spellEnd"/>
      <w:r w:rsidRPr="00507FE1">
        <w:rPr>
          <w:rFonts w:ascii="Calibri" w:eastAsia="Times New Roman" w:hAnsi="Calibri" w:cs="Calibri"/>
          <w:color w:val="000000" w:themeColor="text1"/>
          <w:kern w:val="0"/>
          <w:sz w:val="22"/>
          <w:szCs w:val="22"/>
          <w:lang w:eastAsia="en-GB"/>
          <w14:ligatures w14:val="none"/>
        </w:rPr>
        <w:t xml:space="preserve"> cohort study. </w:t>
      </w:r>
      <w:r w:rsidRPr="00507FE1">
        <w:rPr>
          <w:rFonts w:ascii="Calibri" w:eastAsia="Times New Roman" w:hAnsi="Calibri" w:cs="Calibri"/>
          <w:i/>
          <w:iCs/>
          <w:color w:val="000000" w:themeColor="text1"/>
          <w:kern w:val="0"/>
          <w:sz w:val="22"/>
          <w:szCs w:val="22"/>
          <w:lang w:eastAsia="en-GB"/>
          <w14:ligatures w14:val="none"/>
        </w:rPr>
        <w:t>Scandinavian Journal of Work, Environment &amp; Health, 45</w:t>
      </w:r>
      <w:r w:rsidRPr="00507FE1">
        <w:rPr>
          <w:rFonts w:ascii="Calibri" w:eastAsia="Times New Roman" w:hAnsi="Calibri" w:cs="Calibri"/>
          <w:color w:val="000000" w:themeColor="text1"/>
          <w:kern w:val="0"/>
          <w:sz w:val="22"/>
          <w:szCs w:val="22"/>
          <w:lang w:eastAsia="en-GB"/>
          <w14:ligatures w14:val="none"/>
        </w:rPr>
        <w:t>(2), 166–173. https://doi.org/10.5271/sjweh.3770</w:t>
      </w:r>
    </w:p>
    <w:p w14:paraId="2823C20D" w14:textId="530A4FB0" w:rsidR="001F7DC6" w:rsidRPr="00507FE1" w:rsidRDefault="001F7DC6" w:rsidP="005B1184">
      <w:pPr>
        <w:ind w:left="709" w:hanging="720"/>
        <w:rPr>
          <w:rFonts w:ascii="Times New Roman" w:eastAsia="Times New Roman" w:hAnsi="Times New Roman" w:cs="Times New Roman"/>
          <w:kern w:val="0"/>
          <w:lang w:eastAsia="en-GB"/>
          <w14:ligatures w14:val="none"/>
        </w:rPr>
      </w:pPr>
      <w:r w:rsidRPr="00507FE1">
        <w:rPr>
          <w:rFonts w:ascii="Calibri" w:eastAsia="Times New Roman" w:hAnsi="Calibri" w:cs="Calibri"/>
          <w:color w:val="000000"/>
          <w:kern w:val="0"/>
          <w:sz w:val="22"/>
          <w:szCs w:val="22"/>
          <w:lang w:eastAsia="en-GB"/>
          <w14:ligatures w14:val="none"/>
        </w:rPr>
        <w:t>Occupational Health Services Australia. (2017).</w:t>
      </w:r>
      <w:r w:rsidRPr="00507FE1">
        <w:rPr>
          <w:rFonts w:ascii="Calibri" w:eastAsia="Times New Roman" w:hAnsi="Calibri" w:cs="Calibri"/>
          <w:i/>
          <w:iCs/>
          <w:color w:val="000000"/>
          <w:kern w:val="0"/>
          <w:sz w:val="22"/>
          <w:szCs w:val="22"/>
          <w:lang w:eastAsia="en-GB"/>
          <w14:ligatures w14:val="none"/>
        </w:rPr>
        <w:t xml:space="preserve"> Fatigue </w:t>
      </w:r>
      <w:r w:rsidR="005B1184" w:rsidRPr="00507FE1">
        <w:rPr>
          <w:rFonts w:ascii="Calibri" w:eastAsia="Times New Roman" w:hAnsi="Calibri" w:cs="Calibri"/>
          <w:i/>
          <w:iCs/>
          <w:color w:val="000000"/>
          <w:kern w:val="0"/>
          <w:sz w:val="22"/>
          <w:szCs w:val="22"/>
          <w:lang w:eastAsia="en-GB"/>
          <w14:ligatures w14:val="none"/>
        </w:rPr>
        <w:t>m</w:t>
      </w:r>
      <w:r w:rsidRPr="00507FE1">
        <w:rPr>
          <w:rFonts w:ascii="Calibri" w:eastAsia="Times New Roman" w:hAnsi="Calibri" w:cs="Calibri"/>
          <w:i/>
          <w:iCs/>
          <w:color w:val="000000"/>
          <w:kern w:val="0"/>
          <w:sz w:val="22"/>
          <w:szCs w:val="22"/>
          <w:lang w:eastAsia="en-GB"/>
          <w14:ligatures w14:val="none"/>
        </w:rPr>
        <w:t xml:space="preserve">anagement. </w:t>
      </w:r>
      <w:r w:rsidRPr="00507FE1">
        <w:rPr>
          <w:rFonts w:ascii="Calibri" w:eastAsia="Times New Roman" w:hAnsi="Calibri" w:cs="Calibri"/>
          <w:color w:val="000000"/>
          <w:kern w:val="0"/>
          <w:sz w:val="22"/>
          <w:szCs w:val="22"/>
          <w:lang w:eastAsia="en-GB"/>
          <w14:ligatures w14:val="none"/>
        </w:rPr>
        <w:t>Occupational Health Services Australia.</w:t>
      </w:r>
      <w:hyperlink r:id="rId6" w:history="1">
        <w:r w:rsidRPr="00507FE1">
          <w:rPr>
            <w:rFonts w:ascii="Calibri" w:eastAsia="Times New Roman" w:hAnsi="Calibri" w:cs="Calibri"/>
            <w:color w:val="000000"/>
            <w:kern w:val="0"/>
            <w:sz w:val="22"/>
            <w:szCs w:val="22"/>
            <w:lang w:eastAsia="en-GB"/>
            <w14:ligatures w14:val="none"/>
          </w:rPr>
          <w:t xml:space="preserve"> https://www.ohsa.com.au/services/fatigue-management/</w:t>
        </w:r>
      </w:hyperlink>
    </w:p>
    <w:p w14:paraId="457D4902"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Prowse, J., &amp; Prowse, P. (2015). Flexible working and work–life balance: midwives’ experiences and views. </w:t>
      </w:r>
      <w:r w:rsidRPr="00507FE1">
        <w:rPr>
          <w:rFonts w:ascii="Calibri" w:eastAsia="Times New Roman" w:hAnsi="Calibri" w:cs="Calibri"/>
          <w:i/>
          <w:iCs/>
          <w:color w:val="000000" w:themeColor="text1"/>
          <w:kern w:val="0"/>
          <w:sz w:val="22"/>
          <w:szCs w:val="22"/>
          <w:lang w:eastAsia="en-GB"/>
          <w14:ligatures w14:val="none"/>
        </w:rPr>
        <w:t>Work, Employment and Society, 29</w:t>
      </w:r>
      <w:r w:rsidRPr="00507FE1">
        <w:rPr>
          <w:rFonts w:ascii="Calibri" w:eastAsia="Times New Roman" w:hAnsi="Calibri" w:cs="Calibri"/>
          <w:color w:val="000000" w:themeColor="text1"/>
          <w:kern w:val="0"/>
          <w:sz w:val="22"/>
          <w:szCs w:val="22"/>
          <w:lang w:eastAsia="en-GB"/>
          <w14:ligatures w14:val="none"/>
        </w:rPr>
        <w:t>(5), 757–774. https://doi.org/10.1177/0950017015570724</w:t>
      </w:r>
    </w:p>
    <w:p w14:paraId="203EAD6E" w14:textId="37D32D3D" w:rsidR="001957E8" w:rsidRPr="00507FE1" w:rsidRDefault="001957E8" w:rsidP="001957E8">
      <w:pPr>
        <w:ind w:left="709" w:hanging="720"/>
        <w:rPr>
          <w:rFonts w:ascii="Times New Roman" w:eastAsia="Times New Roman" w:hAnsi="Times New Roman" w:cs="Times New Roman"/>
          <w:kern w:val="0"/>
          <w:lang w:eastAsia="en-GB"/>
          <w14:ligatures w14:val="none"/>
        </w:rPr>
      </w:pPr>
      <w:r w:rsidRPr="00507FE1">
        <w:rPr>
          <w:rFonts w:ascii="Calibri" w:eastAsia="Times New Roman" w:hAnsi="Calibri" w:cs="Calibri"/>
          <w:color w:val="000000"/>
          <w:kern w:val="0"/>
          <w:sz w:val="22"/>
          <w:szCs w:val="22"/>
          <w:lang w:eastAsia="en-GB"/>
          <w14:ligatures w14:val="none"/>
        </w:rPr>
        <w:t xml:space="preserve">Rodrigues, T., Fischer, F. M., Helene, O., Antunes, E., </w:t>
      </w:r>
      <w:proofErr w:type="spellStart"/>
      <w:r w:rsidRPr="00507FE1">
        <w:rPr>
          <w:rFonts w:ascii="Calibri" w:eastAsia="Times New Roman" w:hAnsi="Calibri" w:cs="Calibri"/>
          <w:color w:val="000000"/>
          <w:kern w:val="0"/>
          <w:sz w:val="22"/>
          <w:szCs w:val="22"/>
          <w:lang w:eastAsia="en-GB"/>
          <w14:ligatures w14:val="none"/>
        </w:rPr>
        <w:t>Furlan</w:t>
      </w:r>
      <w:proofErr w:type="spellEnd"/>
      <w:r w:rsidRPr="00507FE1">
        <w:rPr>
          <w:rFonts w:ascii="Calibri" w:eastAsia="Times New Roman" w:hAnsi="Calibri" w:cs="Calibri"/>
          <w:color w:val="000000"/>
          <w:kern w:val="0"/>
          <w:sz w:val="22"/>
          <w:szCs w:val="22"/>
          <w:lang w:eastAsia="en-GB"/>
          <w14:ligatures w14:val="none"/>
        </w:rPr>
        <w:t xml:space="preserve">, E., </w:t>
      </w:r>
      <w:proofErr w:type="spellStart"/>
      <w:r w:rsidRPr="00507FE1">
        <w:rPr>
          <w:rFonts w:ascii="Calibri" w:eastAsia="Times New Roman" w:hAnsi="Calibri" w:cs="Calibri"/>
          <w:color w:val="000000"/>
          <w:kern w:val="0"/>
          <w:sz w:val="22"/>
          <w:szCs w:val="22"/>
          <w:lang w:eastAsia="en-GB"/>
          <w14:ligatures w14:val="none"/>
        </w:rPr>
        <w:t>Morteo</w:t>
      </w:r>
      <w:proofErr w:type="spellEnd"/>
      <w:r w:rsidRPr="00507FE1">
        <w:rPr>
          <w:rFonts w:ascii="Calibri" w:eastAsia="Times New Roman" w:hAnsi="Calibri" w:cs="Calibri"/>
          <w:color w:val="000000"/>
          <w:kern w:val="0"/>
          <w:sz w:val="22"/>
          <w:szCs w:val="22"/>
          <w:lang w:eastAsia="en-GB"/>
          <w14:ligatures w14:val="none"/>
        </w:rPr>
        <w:t xml:space="preserve">, E., </w:t>
      </w:r>
      <w:proofErr w:type="spellStart"/>
      <w:r w:rsidRPr="00507FE1">
        <w:rPr>
          <w:rFonts w:ascii="Calibri" w:eastAsia="Times New Roman" w:hAnsi="Calibri" w:cs="Calibri"/>
          <w:color w:val="000000"/>
          <w:kern w:val="0"/>
          <w:sz w:val="22"/>
          <w:szCs w:val="22"/>
          <w:lang w:eastAsia="en-GB"/>
          <w14:ligatures w14:val="none"/>
        </w:rPr>
        <w:t>Menquini</w:t>
      </w:r>
      <w:proofErr w:type="spellEnd"/>
      <w:r w:rsidRPr="00507FE1">
        <w:rPr>
          <w:rFonts w:ascii="Calibri" w:eastAsia="Times New Roman" w:hAnsi="Calibri" w:cs="Calibri"/>
          <w:color w:val="000000"/>
          <w:kern w:val="0"/>
          <w:sz w:val="22"/>
          <w:szCs w:val="22"/>
          <w:lang w:eastAsia="en-GB"/>
          <w14:ligatures w14:val="none"/>
        </w:rPr>
        <w:t xml:space="preserve">, A., Lisboa, J., Frank, A., </w:t>
      </w:r>
      <w:proofErr w:type="spellStart"/>
      <w:r w:rsidRPr="00507FE1">
        <w:rPr>
          <w:rFonts w:ascii="Calibri" w:eastAsia="Times New Roman" w:hAnsi="Calibri" w:cs="Calibri"/>
          <w:color w:val="000000"/>
          <w:kern w:val="0"/>
          <w:sz w:val="22"/>
          <w:szCs w:val="22"/>
          <w:lang w:eastAsia="en-GB"/>
          <w14:ligatures w14:val="none"/>
        </w:rPr>
        <w:t>Simões</w:t>
      </w:r>
      <w:proofErr w:type="spellEnd"/>
      <w:r w:rsidRPr="00507FE1">
        <w:rPr>
          <w:rFonts w:ascii="Calibri" w:eastAsia="Times New Roman" w:hAnsi="Calibri" w:cs="Calibri"/>
          <w:color w:val="000000"/>
          <w:kern w:val="0"/>
          <w:sz w:val="22"/>
          <w:szCs w:val="22"/>
          <w:lang w:eastAsia="en-GB"/>
          <w14:ligatures w14:val="none"/>
        </w:rPr>
        <w:t xml:space="preserve">, A., Papazian, K., &amp; Helene, A. F. (2023). Modelling the root causes of fatigue and associated risk factors in the Brazilian regular aviation industry. </w:t>
      </w:r>
      <w:r w:rsidRPr="00507FE1">
        <w:rPr>
          <w:rFonts w:ascii="Calibri" w:eastAsia="Times New Roman" w:hAnsi="Calibri" w:cs="Calibri"/>
          <w:i/>
          <w:iCs/>
          <w:color w:val="000000"/>
          <w:kern w:val="0"/>
          <w:sz w:val="22"/>
          <w:szCs w:val="22"/>
          <w:lang w:eastAsia="en-GB"/>
          <w14:ligatures w14:val="none"/>
        </w:rPr>
        <w:t>Safety Science, 157</w:t>
      </w:r>
      <w:r w:rsidRPr="00507FE1">
        <w:rPr>
          <w:rFonts w:ascii="Calibri" w:eastAsia="Times New Roman" w:hAnsi="Calibri" w:cs="Calibri"/>
          <w:color w:val="000000"/>
          <w:kern w:val="0"/>
          <w:sz w:val="22"/>
          <w:szCs w:val="22"/>
          <w:lang w:eastAsia="en-GB"/>
          <w14:ligatures w14:val="none"/>
        </w:rPr>
        <w:t>, 105905–. https://doi.org/10.1016/j.ssci.2022.105905</w:t>
      </w:r>
    </w:p>
    <w:p w14:paraId="67FEA947" w14:textId="3EF1F2FF" w:rsidR="001F7DC6" w:rsidRPr="00507FE1" w:rsidRDefault="001F7DC6" w:rsidP="001F7DC6">
      <w:pPr>
        <w:ind w:left="709" w:hanging="720"/>
        <w:rPr>
          <w:rFonts w:ascii="Times New Roman" w:eastAsia="Times New Roman" w:hAnsi="Times New Roman" w:cs="Times New Roman"/>
          <w:kern w:val="0"/>
          <w:lang w:eastAsia="en-GB"/>
          <w14:ligatures w14:val="none"/>
        </w:rPr>
      </w:pPr>
      <w:r w:rsidRPr="00507FE1">
        <w:rPr>
          <w:rFonts w:ascii="Calibri" w:eastAsia="Times New Roman" w:hAnsi="Calibri" w:cs="Calibri"/>
          <w:color w:val="000000"/>
          <w:kern w:val="0"/>
          <w:sz w:val="22"/>
          <w:szCs w:val="22"/>
          <w:lang w:eastAsia="en-GB"/>
          <w14:ligatures w14:val="none"/>
        </w:rPr>
        <w:t xml:space="preserve">Safe Work Australia. (2013). </w:t>
      </w:r>
      <w:r w:rsidR="005B1184" w:rsidRPr="00507FE1">
        <w:rPr>
          <w:rFonts w:ascii="Calibri" w:eastAsia="Times New Roman" w:hAnsi="Calibri" w:cs="Calibri"/>
          <w:i/>
          <w:iCs/>
          <w:color w:val="000000"/>
          <w:kern w:val="0"/>
          <w:sz w:val="22"/>
          <w:szCs w:val="22"/>
          <w:lang w:eastAsia="en-GB"/>
          <w14:ligatures w14:val="none"/>
        </w:rPr>
        <w:t>Guide for management the risk of fatigue at work</w:t>
      </w:r>
      <w:r w:rsidRPr="00507FE1">
        <w:rPr>
          <w:rFonts w:ascii="Calibri" w:eastAsia="Times New Roman" w:hAnsi="Calibri" w:cs="Calibri"/>
          <w:color w:val="000000"/>
          <w:kern w:val="0"/>
          <w:sz w:val="22"/>
          <w:szCs w:val="22"/>
          <w:lang w:eastAsia="en-GB"/>
          <w14:ligatures w14:val="none"/>
        </w:rPr>
        <w:t>. Australian Government. https://www.safeworkaustralia.gov.au/system/files/documents/1702/managing-the-risk-of-fatigue.pdf</w:t>
      </w:r>
    </w:p>
    <w:p w14:paraId="3185A06B"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Sheehy, A., Smith, M. R., Gray, P. J., &amp; AO, P. C. H. (2021). Understanding workforce experiences in the early career period of Australian midwives: insights into factors which strengthen job satisfaction. </w:t>
      </w:r>
      <w:r w:rsidRPr="00507FE1">
        <w:rPr>
          <w:rFonts w:ascii="Calibri" w:eastAsia="Times New Roman" w:hAnsi="Calibri" w:cs="Calibri"/>
          <w:i/>
          <w:iCs/>
          <w:color w:val="000000" w:themeColor="text1"/>
          <w:kern w:val="0"/>
          <w:sz w:val="22"/>
          <w:szCs w:val="22"/>
          <w:lang w:eastAsia="en-GB"/>
          <w14:ligatures w14:val="none"/>
        </w:rPr>
        <w:t>Midwifery, 93</w:t>
      </w:r>
      <w:r w:rsidRPr="00507FE1">
        <w:rPr>
          <w:rFonts w:ascii="Calibri" w:eastAsia="Times New Roman" w:hAnsi="Calibri" w:cs="Calibri"/>
          <w:color w:val="000000" w:themeColor="text1"/>
          <w:kern w:val="0"/>
          <w:sz w:val="22"/>
          <w:szCs w:val="22"/>
          <w:lang w:eastAsia="en-GB"/>
          <w14:ligatures w14:val="none"/>
        </w:rPr>
        <w:t>, 102880–102880. https://doi.org/10.1016/j.midw.2020.102880</w:t>
      </w:r>
    </w:p>
    <w:p w14:paraId="29C361C2" w14:textId="4D753458" w:rsidR="001957E8" w:rsidRPr="00507FE1" w:rsidRDefault="001957E8" w:rsidP="001957E8">
      <w:pPr>
        <w:ind w:left="709" w:hanging="720"/>
        <w:rPr>
          <w:rFonts w:ascii="Times New Roman" w:eastAsia="Times New Roman" w:hAnsi="Times New Roman" w:cs="Times New Roman"/>
          <w:kern w:val="0"/>
          <w:lang w:eastAsia="en-GB"/>
          <w14:ligatures w14:val="none"/>
        </w:rPr>
      </w:pPr>
      <w:r w:rsidRPr="00507FE1">
        <w:rPr>
          <w:rFonts w:ascii="Calibri" w:eastAsia="Times New Roman" w:hAnsi="Calibri" w:cs="Calibri"/>
          <w:color w:val="000000"/>
          <w:kern w:val="0"/>
          <w:sz w:val="22"/>
          <w:szCs w:val="22"/>
          <w:lang w:eastAsia="en-GB"/>
          <w14:ligatures w14:val="none"/>
        </w:rPr>
        <w:t xml:space="preserve">Sleep Health Foundation. (2022). </w:t>
      </w:r>
      <w:r w:rsidRPr="00507FE1">
        <w:rPr>
          <w:rFonts w:ascii="Calibri" w:eastAsia="Times New Roman" w:hAnsi="Calibri" w:cs="Calibri"/>
          <w:i/>
          <w:iCs/>
          <w:color w:val="000000"/>
          <w:kern w:val="0"/>
          <w:sz w:val="22"/>
          <w:szCs w:val="22"/>
          <w:lang w:eastAsia="en-GB"/>
          <w14:ligatures w14:val="none"/>
        </w:rPr>
        <w:t>Better sleep and wellbeing for healthcare workers</w:t>
      </w:r>
      <w:r w:rsidRPr="00507FE1">
        <w:rPr>
          <w:rFonts w:ascii="Calibri" w:eastAsia="Times New Roman" w:hAnsi="Calibri" w:cs="Calibri"/>
          <w:color w:val="000000"/>
          <w:kern w:val="0"/>
          <w:sz w:val="22"/>
          <w:szCs w:val="22"/>
          <w:lang w:eastAsia="en-GB"/>
          <w14:ligatures w14:val="none"/>
        </w:rPr>
        <w:t xml:space="preserve">. Australian Sleep Association.  </w:t>
      </w:r>
      <w:hyperlink r:id="rId7" w:history="1">
        <w:r w:rsidRPr="00507FE1">
          <w:rPr>
            <w:rFonts w:ascii="Calibri" w:eastAsia="Times New Roman" w:hAnsi="Calibri" w:cs="Calibri"/>
            <w:color w:val="000000"/>
            <w:kern w:val="0"/>
            <w:sz w:val="22"/>
            <w:szCs w:val="22"/>
            <w:lang w:eastAsia="en-GB"/>
            <w14:ligatures w14:val="none"/>
          </w:rPr>
          <w:t>https://www.sleep.org.au/common/Uploaded%20files/Public%20Files/About/ASA%20SHF%20Policy%20Proposal-0822%20WEB.pdf</w:t>
        </w:r>
      </w:hyperlink>
    </w:p>
    <w:p w14:paraId="26F21527" w14:textId="478A0AE6"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lastRenderedPageBreak/>
        <w:t>Steege</w:t>
      </w:r>
      <w:proofErr w:type="spellEnd"/>
      <w:r w:rsidRPr="00507FE1">
        <w:rPr>
          <w:rFonts w:ascii="Calibri" w:eastAsia="Times New Roman" w:hAnsi="Calibri" w:cs="Calibri"/>
          <w:color w:val="000000" w:themeColor="text1"/>
          <w:kern w:val="0"/>
          <w:sz w:val="22"/>
          <w:szCs w:val="22"/>
          <w:lang w:eastAsia="en-GB"/>
          <w14:ligatures w14:val="none"/>
        </w:rPr>
        <w:t xml:space="preserve">, L., </w:t>
      </w:r>
      <w:proofErr w:type="spellStart"/>
      <w:r w:rsidRPr="00507FE1">
        <w:rPr>
          <w:rFonts w:ascii="Calibri" w:eastAsia="Times New Roman" w:hAnsi="Calibri" w:cs="Calibri"/>
          <w:color w:val="000000" w:themeColor="text1"/>
          <w:kern w:val="0"/>
          <w:sz w:val="22"/>
          <w:szCs w:val="22"/>
          <w:lang w:eastAsia="en-GB"/>
          <w14:ligatures w14:val="none"/>
        </w:rPr>
        <w:t>Pinekenstein</w:t>
      </w:r>
      <w:proofErr w:type="spellEnd"/>
      <w:r w:rsidRPr="00507FE1">
        <w:rPr>
          <w:rFonts w:ascii="Calibri" w:eastAsia="Times New Roman" w:hAnsi="Calibri" w:cs="Calibri"/>
          <w:color w:val="000000" w:themeColor="text1"/>
          <w:kern w:val="0"/>
          <w:sz w:val="22"/>
          <w:szCs w:val="22"/>
          <w:lang w:eastAsia="en-GB"/>
          <w14:ligatures w14:val="none"/>
        </w:rPr>
        <w:t xml:space="preserve">, B. J., Rainbow, J. G., &amp; Knudsen, É. A. (2017). Addressing occupational fatigue in nurses: Current state of fatigue risk management in hospitals, Part 1. </w:t>
      </w:r>
      <w:r w:rsidRPr="00507FE1">
        <w:rPr>
          <w:rFonts w:ascii="Calibri" w:eastAsia="Times New Roman" w:hAnsi="Calibri" w:cs="Calibri"/>
          <w:i/>
          <w:iCs/>
          <w:color w:val="000000" w:themeColor="text1"/>
          <w:kern w:val="0"/>
          <w:sz w:val="22"/>
          <w:szCs w:val="22"/>
          <w:lang w:eastAsia="en-GB"/>
          <w14:ligatures w14:val="none"/>
        </w:rPr>
        <w:t>The Journal of Nursing Administration, 47</w:t>
      </w:r>
      <w:r w:rsidRPr="00507FE1">
        <w:rPr>
          <w:rFonts w:ascii="Calibri" w:eastAsia="Times New Roman" w:hAnsi="Calibri" w:cs="Calibri"/>
          <w:color w:val="000000" w:themeColor="text1"/>
          <w:kern w:val="0"/>
          <w:sz w:val="22"/>
          <w:szCs w:val="22"/>
          <w:lang w:eastAsia="en-GB"/>
          <w14:ligatures w14:val="none"/>
        </w:rPr>
        <w:t>(9), 426–433. https://doi.org/10.1097/NNA.0000000000000509</w:t>
      </w:r>
    </w:p>
    <w:p w14:paraId="31BFDFB1"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t>Stimpfel</w:t>
      </w:r>
      <w:proofErr w:type="spellEnd"/>
      <w:r w:rsidRPr="00507FE1">
        <w:rPr>
          <w:rFonts w:ascii="Calibri" w:eastAsia="Times New Roman" w:hAnsi="Calibri" w:cs="Calibri"/>
          <w:color w:val="000000" w:themeColor="text1"/>
          <w:kern w:val="0"/>
          <w:sz w:val="22"/>
          <w:szCs w:val="22"/>
          <w:lang w:eastAsia="en-GB"/>
          <w14:ligatures w14:val="none"/>
        </w:rPr>
        <w:t xml:space="preserve">, A., Sloane, D. M., &amp; Aiken, L. H. (2012). The longer the shifts for hospital nurses, the higher the levels of burnout and patient dissatisfaction. </w:t>
      </w:r>
      <w:r w:rsidRPr="00507FE1">
        <w:rPr>
          <w:rFonts w:ascii="Calibri" w:eastAsia="Times New Roman" w:hAnsi="Calibri" w:cs="Calibri"/>
          <w:i/>
          <w:iCs/>
          <w:color w:val="000000" w:themeColor="text1"/>
          <w:kern w:val="0"/>
          <w:sz w:val="22"/>
          <w:szCs w:val="22"/>
          <w:lang w:eastAsia="en-GB"/>
          <w14:ligatures w14:val="none"/>
        </w:rPr>
        <w:t>Health Affairs, 31</w:t>
      </w:r>
      <w:r w:rsidRPr="00507FE1">
        <w:rPr>
          <w:rFonts w:ascii="Calibri" w:eastAsia="Times New Roman" w:hAnsi="Calibri" w:cs="Calibri"/>
          <w:color w:val="000000" w:themeColor="text1"/>
          <w:kern w:val="0"/>
          <w:sz w:val="22"/>
          <w:szCs w:val="22"/>
          <w:lang w:eastAsia="en-GB"/>
          <w14:ligatures w14:val="none"/>
        </w:rPr>
        <w:t>(11), 2501–2509. https://doi.org/10.1377/hlthaff.2011.1377</w:t>
      </w:r>
    </w:p>
    <w:p w14:paraId="66A1A800"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Sun, Q., Ji, X., Zhou, W., &amp; Liu, J. (2019). Sleep problems in shift nurses: A brief review and recommendations at both individual and institutional levels. </w:t>
      </w:r>
      <w:r w:rsidRPr="00507FE1">
        <w:rPr>
          <w:rFonts w:ascii="Calibri" w:eastAsia="Times New Roman" w:hAnsi="Calibri" w:cs="Calibri"/>
          <w:i/>
          <w:iCs/>
          <w:color w:val="000000" w:themeColor="text1"/>
          <w:kern w:val="0"/>
          <w:sz w:val="22"/>
          <w:szCs w:val="22"/>
          <w:lang w:eastAsia="en-GB"/>
          <w14:ligatures w14:val="none"/>
        </w:rPr>
        <w:t>Journal of Nursing Management, 27</w:t>
      </w:r>
      <w:r w:rsidRPr="00507FE1">
        <w:rPr>
          <w:rFonts w:ascii="Calibri" w:eastAsia="Times New Roman" w:hAnsi="Calibri" w:cs="Calibri"/>
          <w:color w:val="000000" w:themeColor="text1"/>
          <w:kern w:val="0"/>
          <w:sz w:val="22"/>
          <w:szCs w:val="22"/>
          <w:lang w:eastAsia="en-GB"/>
          <w14:ligatures w14:val="none"/>
        </w:rPr>
        <w:t>(1), 10–18. https://doi.org/10.1111/jonm.12656</w:t>
      </w:r>
    </w:p>
    <w:p w14:paraId="2194B225"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proofErr w:type="spellStart"/>
      <w:r w:rsidRPr="00507FE1">
        <w:rPr>
          <w:rFonts w:ascii="Calibri" w:eastAsia="Times New Roman" w:hAnsi="Calibri" w:cs="Calibri"/>
          <w:color w:val="000000" w:themeColor="text1"/>
          <w:kern w:val="0"/>
          <w:sz w:val="22"/>
          <w:szCs w:val="22"/>
          <w:lang w:eastAsia="en-GB"/>
          <w14:ligatures w14:val="none"/>
        </w:rPr>
        <w:t>Thumm</w:t>
      </w:r>
      <w:proofErr w:type="spellEnd"/>
      <w:r w:rsidRPr="00507FE1">
        <w:rPr>
          <w:rFonts w:ascii="Calibri" w:eastAsia="Times New Roman" w:hAnsi="Calibri" w:cs="Calibri"/>
          <w:color w:val="000000" w:themeColor="text1"/>
          <w:kern w:val="0"/>
          <w:sz w:val="22"/>
          <w:szCs w:val="22"/>
          <w:lang w:eastAsia="en-GB"/>
          <w14:ligatures w14:val="none"/>
        </w:rPr>
        <w:t xml:space="preserve">, E., Smith, D. C., Squires, A. P., Breedlove, G., &amp; Meek, P. M. (2022). Burnout of the US midwifery workforce and the role of practice environment. </w:t>
      </w:r>
      <w:r w:rsidRPr="00507FE1">
        <w:rPr>
          <w:rFonts w:ascii="Calibri" w:eastAsia="Times New Roman" w:hAnsi="Calibri" w:cs="Calibri"/>
          <w:i/>
          <w:iCs/>
          <w:color w:val="000000" w:themeColor="text1"/>
          <w:kern w:val="0"/>
          <w:sz w:val="22"/>
          <w:szCs w:val="22"/>
          <w:lang w:eastAsia="en-GB"/>
          <w14:ligatures w14:val="none"/>
        </w:rPr>
        <w:t>Health Services Research, 57</w:t>
      </w:r>
      <w:r w:rsidRPr="00507FE1">
        <w:rPr>
          <w:rFonts w:ascii="Calibri" w:eastAsia="Times New Roman" w:hAnsi="Calibri" w:cs="Calibri"/>
          <w:color w:val="000000" w:themeColor="text1"/>
          <w:kern w:val="0"/>
          <w:sz w:val="22"/>
          <w:szCs w:val="22"/>
          <w:lang w:eastAsia="en-GB"/>
          <w14:ligatures w14:val="none"/>
        </w:rPr>
        <w:t>(2), 351–363. https://doi.org/10.1111/1475-6773.13922</w:t>
      </w:r>
    </w:p>
    <w:p w14:paraId="1AB81F54" w14:textId="77777777" w:rsidR="001F7DC6" w:rsidRPr="00507FE1" w:rsidRDefault="001F7DC6" w:rsidP="001F7DC6">
      <w:pPr>
        <w:ind w:left="709" w:hanging="720"/>
        <w:rPr>
          <w:rFonts w:ascii="Calibri" w:eastAsia="Times New Roman" w:hAnsi="Calibri" w:cs="Calibri"/>
          <w:color w:val="000000" w:themeColor="text1"/>
          <w:kern w:val="0"/>
          <w:sz w:val="22"/>
          <w:szCs w:val="22"/>
          <w:lang w:eastAsia="en-GB"/>
          <w14:ligatures w14:val="none"/>
        </w:rPr>
      </w:pPr>
      <w:r w:rsidRPr="00507FE1">
        <w:rPr>
          <w:rFonts w:ascii="Calibri" w:eastAsia="Times New Roman" w:hAnsi="Calibri" w:cs="Calibri"/>
          <w:color w:val="000000" w:themeColor="text1"/>
          <w:kern w:val="0"/>
          <w:sz w:val="22"/>
          <w:szCs w:val="22"/>
          <w:lang w:eastAsia="en-GB"/>
          <w14:ligatures w14:val="none"/>
        </w:rPr>
        <w:t xml:space="preserve">Venus, M., </w:t>
      </w:r>
      <w:proofErr w:type="spellStart"/>
      <w:r w:rsidRPr="00507FE1">
        <w:rPr>
          <w:rFonts w:ascii="Calibri" w:eastAsia="Times New Roman" w:hAnsi="Calibri" w:cs="Calibri"/>
          <w:color w:val="000000" w:themeColor="text1"/>
          <w:kern w:val="0"/>
          <w:sz w:val="22"/>
          <w:szCs w:val="22"/>
          <w:lang w:eastAsia="en-GB"/>
          <w14:ligatures w14:val="none"/>
        </w:rPr>
        <w:t>Greder</w:t>
      </w:r>
      <w:proofErr w:type="spellEnd"/>
      <w:r w:rsidRPr="00507FE1">
        <w:rPr>
          <w:rFonts w:ascii="Calibri" w:eastAsia="Times New Roman" w:hAnsi="Calibri" w:cs="Calibri"/>
          <w:color w:val="000000" w:themeColor="text1"/>
          <w:kern w:val="0"/>
          <w:sz w:val="22"/>
          <w:szCs w:val="22"/>
          <w:lang w:eastAsia="en-GB"/>
          <w14:ligatures w14:val="none"/>
        </w:rPr>
        <w:t xml:space="preserve">, D., &amp; </w:t>
      </w:r>
      <w:proofErr w:type="spellStart"/>
      <w:r w:rsidRPr="00507FE1">
        <w:rPr>
          <w:rFonts w:ascii="Calibri" w:eastAsia="Times New Roman" w:hAnsi="Calibri" w:cs="Calibri"/>
          <w:color w:val="000000" w:themeColor="text1"/>
          <w:kern w:val="0"/>
          <w:sz w:val="22"/>
          <w:szCs w:val="22"/>
          <w:lang w:eastAsia="en-GB"/>
          <w14:ligatures w14:val="none"/>
        </w:rPr>
        <w:t>grosse</w:t>
      </w:r>
      <w:proofErr w:type="spellEnd"/>
      <w:r w:rsidRPr="00507FE1">
        <w:rPr>
          <w:rFonts w:ascii="Calibri" w:eastAsia="Times New Roman" w:hAnsi="Calibri" w:cs="Calibri"/>
          <w:color w:val="000000" w:themeColor="text1"/>
          <w:kern w:val="0"/>
          <w:sz w:val="22"/>
          <w:szCs w:val="22"/>
          <w:lang w:eastAsia="en-GB"/>
          <w14:ligatures w14:val="none"/>
        </w:rPr>
        <w:t xml:space="preserve"> </w:t>
      </w:r>
      <w:proofErr w:type="spellStart"/>
      <w:r w:rsidRPr="00507FE1">
        <w:rPr>
          <w:rFonts w:ascii="Calibri" w:eastAsia="Times New Roman" w:hAnsi="Calibri" w:cs="Calibri"/>
          <w:color w:val="000000" w:themeColor="text1"/>
          <w:kern w:val="0"/>
          <w:sz w:val="22"/>
          <w:szCs w:val="22"/>
          <w:lang w:eastAsia="en-GB"/>
          <w14:ligatures w14:val="none"/>
        </w:rPr>
        <w:t>Holtforth</w:t>
      </w:r>
      <w:proofErr w:type="spellEnd"/>
      <w:r w:rsidRPr="00507FE1">
        <w:rPr>
          <w:rFonts w:ascii="Calibri" w:eastAsia="Times New Roman" w:hAnsi="Calibri" w:cs="Calibri"/>
          <w:color w:val="000000" w:themeColor="text1"/>
          <w:kern w:val="0"/>
          <w:sz w:val="22"/>
          <w:szCs w:val="22"/>
          <w:lang w:eastAsia="en-GB"/>
          <w14:ligatures w14:val="none"/>
        </w:rPr>
        <w:t xml:space="preserve">, M. (2022). How professional pilots perceive interactions of working conditions, rosters, stress, sleep problems, </w:t>
      </w:r>
      <w:proofErr w:type="gramStart"/>
      <w:r w:rsidRPr="00507FE1">
        <w:rPr>
          <w:rFonts w:ascii="Calibri" w:eastAsia="Times New Roman" w:hAnsi="Calibri" w:cs="Calibri"/>
          <w:color w:val="000000" w:themeColor="text1"/>
          <w:kern w:val="0"/>
          <w:sz w:val="22"/>
          <w:szCs w:val="22"/>
          <w:lang w:eastAsia="en-GB"/>
          <w14:ligatures w14:val="none"/>
        </w:rPr>
        <w:t>fatigue</w:t>
      </w:r>
      <w:proofErr w:type="gramEnd"/>
      <w:r w:rsidRPr="00507FE1">
        <w:rPr>
          <w:rFonts w:ascii="Calibri" w:eastAsia="Times New Roman" w:hAnsi="Calibri" w:cs="Calibri"/>
          <w:color w:val="000000" w:themeColor="text1"/>
          <w:kern w:val="0"/>
          <w:sz w:val="22"/>
          <w:szCs w:val="22"/>
          <w:lang w:eastAsia="en-GB"/>
          <w14:ligatures w14:val="none"/>
        </w:rPr>
        <w:t xml:space="preserve"> and mental health. A qualitative content analysis. </w:t>
      </w:r>
      <w:r w:rsidRPr="00507FE1">
        <w:rPr>
          <w:rFonts w:ascii="Calibri" w:eastAsia="Times New Roman" w:hAnsi="Calibri" w:cs="Calibri"/>
          <w:i/>
          <w:iCs/>
          <w:color w:val="000000" w:themeColor="text1"/>
          <w:kern w:val="0"/>
          <w:sz w:val="22"/>
          <w:szCs w:val="22"/>
          <w:lang w:eastAsia="en-GB"/>
          <w14:ligatures w14:val="none"/>
        </w:rPr>
        <w:t>European Review of Applied Psychology, 72</w:t>
      </w:r>
      <w:r w:rsidRPr="00507FE1">
        <w:rPr>
          <w:rFonts w:ascii="Calibri" w:eastAsia="Times New Roman" w:hAnsi="Calibri" w:cs="Calibri"/>
          <w:color w:val="000000" w:themeColor="text1"/>
          <w:kern w:val="0"/>
          <w:sz w:val="22"/>
          <w:szCs w:val="22"/>
          <w:lang w:eastAsia="en-GB"/>
          <w14:ligatures w14:val="none"/>
        </w:rPr>
        <w:t xml:space="preserve">(3), 100762. https://doi.org/10.1016/j.erap.2022.100762 </w:t>
      </w:r>
    </w:p>
    <w:p w14:paraId="1916064C" w14:textId="1B00A14A" w:rsidR="00CF0076" w:rsidRPr="00507FE1" w:rsidRDefault="001F7DC6" w:rsidP="005B1184">
      <w:pPr>
        <w:ind w:left="709" w:hanging="720"/>
      </w:pPr>
      <w:r w:rsidRPr="00507FE1">
        <w:rPr>
          <w:rFonts w:ascii="Calibri" w:eastAsia="Times New Roman" w:hAnsi="Calibri" w:cs="Calibri"/>
          <w:color w:val="000000" w:themeColor="text1"/>
          <w:kern w:val="0"/>
          <w:sz w:val="22"/>
          <w:szCs w:val="22"/>
          <w:lang w:eastAsia="en-GB"/>
          <w14:ligatures w14:val="none"/>
        </w:rPr>
        <w:t xml:space="preserve">Yoshida, Y. &amp; Sandall, J. (2013). Occupational burnout and work factors in community and hospital midwives: A survey analysis. </w:t>
      </w:r>
      <w:r w:rsidRPr="00507FE1">
        <w:rPr>
          <w:rFonts w:ascii="Calibri" w:eastAsia="Times New Roman" w:hAnsi="Calibri" w:cs="Calibri"/>
          <w:i/>
          <w:iCs/>
          <w:color w:val="000000" w:themeColor="text1"/>
          <w:kern w:val="0"/>
          <w:sz w:val="22"/>
          <w:szCs w:val="22"/>
          <w:lang w:eastAsia="en-GB"/>
          <w14:ligatures w14:val="none"/>
        </w:rPr>
        <w:t>Midwifery, 29</w:t>
      </w:r>
      <w:r w:rsidRPr="00507FE1">
        <w:rPr>
          <w:rFonts w:ascii="Calibri" w:eastAsia="Times New Roman" w:hAnsi="Calibri" w:cs="Calibri"/>
          <w:color w:val="000000" w:themeColor="text1"/>
          <w:kern w:val="0"/>
          <w:sz w:val="22"/>
          <w:szCs w:val="22"/>
          <w:lang w:eastAsia="en-GB"/>
          <w14:ligatures w14:val="none"/>
        </w:rPr>
        <w:t>(8), 921–926. https://doi.org/10.1016/j.midw.2012.11.002</w:t>
      </w:r>
    </w:p>
    <w:sectPr w:rsidR="00CF0076" w:rsidRPr="00507FE1" w:rsidSect="00C140F2">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5C2"/>
    <w:rsid w:val="0001530E"/>
    <w:rsid w:val="000162E9"/>
    <w:rsid w:val="00023658"/>
    <w:rsid w:val="000402A9"/>
    <w:rsid w:val="00072486"/>
    <w:rsid w:val="00090AD2"/>
    <w:rsid w:val="000C730C"/>
    <w:rsid w:val="0018195A"/>
    <w:rsid w:val="001957E8"/>
    <w:rsid w:val="001A4BEB"/>
    <w:rsid w:val="001E64FD"/>
    <w:rsid w:val="001F4B15"/>
    <w:rsid w:val="001F7DC6"/>
    <w:rsid w:val="00231862"/>
    <w:rsid w:val="00276D4F"/>
    <w:rsid w:val="002814DA"/>
    <w:rsid w:val="00284D11"/>
    <w:rsid w:val="002A4F2E"/>
    <w:rsid w:val="002B269E"/>
    <w:rsid w:val="002D61B7"/>
    <w:rsid w:val="002F5EDE"/>
    <w:rsid w:val="002F7D3B"/>
    <w:rsid w:val="00302246"/>
    <w:rsid w:val="00302B66"/>
    <w:rsid w:val="00380130"/>
    <w:rsid w:val="003A3197"/>
    <w:rsid w:val="003D1AAF"/>
    <w:rsid w:val="003E5D3B"/>
    <w:rsid w:val="003F518C"/>
    <w:rsid w:val="00492DE8"/>
    <w:rsid w:val="004C7F80"/>
    <w:rsid w:val="004D6673"/>
    <w:rsid w:val="004F4E7B"/>
    <w:rsid w:val="0050671E"/>
    <w:rsid w:val="00507FE1"/>
    <w:rsid w:val="00512363"/>
    <w:rsid w:val="00541F04"/>
    <w:rsid w:val="00550FB3"/>
    <w:rsid w:val="005635ED"/>
    <w:rsid w:val="005A30CF"/>
    <w:rsid w:val="005A522E"/>
    <w:rsid w:val="005B1184"/>
    <w:rsid w:val="005C2F9C"/>
    <w:rsid w:val="005D4823"/>
    <w:rsid w:val="00605873"/>
    <w:rsid w:val="006350EC"/>
    <w:rsid w:val="00664400"/>
    <w:rsid w:val="00664B15"/>
    <w:rsid w:val="00683715"/>
    <w:rsid w:val="006962F6"/>
    <w:rsid w:val="006A647C"/>
    <w:rsid w:val="006B5829"/>
    <w:rsid w:val="0070636B"/>
    <w:rsid w:val="007913DE"/>
    <w:rsid w:val="007A2CF0"/>
    <w:rsid w:val="007B2D11"/>
    <w:rsid w:val="007B7AED"/>
    <w:rsid w:val="008078A6"/>
    <w:rsid w:val="00861B66"/>
    <w:rsid w:val="0086778F"/>
    <w:rsid w:val="008836C0"/>
    <w:rsid w:val="008932F9"/>
    <w:rsid w:val="008E6694"/>
    <w:rsid w:val="00905C7E"/>
    <w:rsid w:val="00927A7F"/>
    <w:rsid w:val="00941369"/>
    <w:rsid w:val="00955B61"/>
    <w:rsid w:val="009C065A"/>
    <w:rsid w:val="00A16724"/>
    <w:rsid w:val="00A2412C"/>
    <w:rsid w:val="00A355C2"/>
    <w:rsid w:val="00A41D40"/>
    <w:rsid w:val="00A55E5B"/>
    <w:rsid w:val="00A62527"/>
    <w:rsid w:val="00A858FC"/>
    <w:rsid w:val="00A944AE"/>
    <w:rsid w:val="00AC6BBD"/>
    <w:rsid w:val="00AD2496"/>
    <w:rsid w:val="00AD636A"/>
    <w:rsid w:val="00B03FDD"/>
    <w:rsid w:val="00B642AC"/>
    <w:rsid w:val="00BB245F"/>
    <w:rsid w:val="00BC0433"/>
    <w:rsid w:val="00C04B98"/>
    <w:rsid w:val="00C140F2"/>
    <w:rsid w:val="00C157A1"/>
    <w:rsid w:val="00C25FE8"/>
    <w:rsid w:val="00C45EC5"/>
    <w:rsid w:val="00CC110C"/>
    <w:rsid w:val="00CD2EAC"/>
    <w:rsid w:val="00CD4662"/>
    <w:rsid w:val="00CE5A62"/>
    <w:rsid w:val="00CF0076"/>
    <w:rsid w:val="00D36A3F"/>
    <w:rsid w:val="00D97B34"/>
    <w:rsid w:val="00E0578A"/>
    <w:rsid w:val="00E1141E"/>
    <w:rsid w:val="00E14789"/>
    <w:rsid w:val="00E4291D"/>
    <w:rsid w:val="00E52D48"/>
    <w:rsid w:val="00E8060F"/>
    <w:rsid w:val="00EA1084"/>
    <w:rsid w:val="00EB4BB1"/>
    <w:rsid w:val="00EF0E80"/>
    <w:rsid w:val="00F1075C"/>
    <w:rsid w:val="00F14570"/>
    <w:rsid w:val="00F77848"/>
    <w:rsid w:val="00F93168"/>
    <w:rsid w:val="00FB5D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0CEFC"/>
  <w15:chartTrackingRefBased/>
  <w15:docId w15:val="{5D4DEA69-3D29-6C4F-AACC-95460A166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355C2"/>
    <w:pPr>
      <w:spacing w:before="100" w:beforeAutospacing="1" w:after="100" w:afterAutospacing="1"/>
    </w:pPr>
    <w:rPr>
      <w:rFonts w:ascii="Times New Roman" w:eastAsia="Times New Roman" w:hAnsi="Times New Roman" w:cs="Times New Roman"/>
      <w:kern w:val="0"/>
      <w:lang w:eastAsia="en-GB"/>
      <w14:ligatures w14:val="none"/>
    </w:rPr>
  </w:style>
  <w:style w:type="character" w:styleId="Hyperlink">
    <w:name w:val="Hyperlink"/>
    <w:basedOn w:val="DefaultParagraphFont"/>
    <w:uiPriority w:val="99"/>
    <w:unhideWhenUsed/>
    <w:rsid w:val="001F7DC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24752">
      <w:bodyDiv w:val="1"/>
      <w:marLeft w:val="0"/>
      <w:marRight w:val="0"/>
      <w:marTop w:val="0"/>
      <w:marBottom w:val="0"/>
      <w:divBdr>
        <w:top w:val="none" w:sz="0" w:space="0" w:color="auto"/>
        <w:left w:val="none" w:sz="0" w:space="0" w:color="auto"/>
        <w:bottom w:val="none" w:sz="0" w:space="0" w:color="auto"/>
        <w:right w:val="none" w:sz="0" w:space="0" w:color="auto"/>
      </w:divBdr>
    </w:div>
    <w:div w:id="1826896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sleep.org.au/common/Uploaded%20files/Public%20Files/About/ASA%20SHF%20Policy%20Proposal-0822%20WEB.pd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ohsa.com.au/services/fatigue-management/" TargetMode="External"/><Relationship Id="rId5" Type="http://schemas.openxmlformats.org/officeDocument/2006/relationships/hyperlink" Target="https://doi.org/10.1016/j.ssmph.2021.100802" TargetMode="External"/><Relationship Id="rId4" Type="http://schemas.openxmlformats.org/officeDocument/2006/relationships/hyperlink" Target="https://doi.org/10.1016/j.ijnurstu.2020.103710"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1741</Words>
  <Characters>9928</Characters>
  <Application>Microsoft Office Word</Application>
  <DocSecurity>4</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Erin.Griffin-Danby</dc:creator>
  <cp:keywords/>
  <dc:description/>
  <cp:lastModifiedBy>Marjorie.Atchan</cp:lastModifiedBy>
  <cp:revision>2</cp:revision>
  <dcterms:created xsi:type="dcterms:W3CDTF">2023-09-26T06:12:00Z</dcterms:created>
  <dcterms:modified xsi:type="dcterms:W3CDTF">2023-09-26T06:12:00Z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f6fef03-d487-4433-8e43-6b81c0a1b7be_Enabled">
    <vt:lpwstr>true</vt:lpwstr>
  </property>
  <property fmtid="{D5CDD505-2E9C-101B-9397-08002B2CF9AE}" pid="3" name="MSIP_Label_bf6fef03-d487-4433-8e43-6b81c0a1b7be_SetDate">
    <vt:lpwstr>2023-09-26T06:12:37Z</vt:lpwstr>
  </property>
  <property fmtid="{D5CDD505-2E9C-101B-9397-08002B2CF9AE}" pid="4" name="MSIP_Label_bf6fef03-d487-4433-8e43-6b81c0a1b7be_Method">
    <vt:lpwstr>Standard</vt:lpwstr>
  </property>
  <property fmtid="{D5CDD505-2E9C-101B-9397-08002B2CF9AE}" pid="5" name="MSIP_Label_bf6fef03-d487-4433-8e43-6b81c0a1b7be_Name">
    <vt:lpwstr>Unclassified</vt:lpwstr>
  </property>
  <property fmtid="{D5CDD505-2E9C-101B-9397-08002B2CF9AE}" pid="6" name="MSIP_Label_bf6fef03-d487-4433-8e43-6b81c0a1b7be_SiteId">
    <vt:lpwstr>1daf5147-a543-4707-a2fb-2acf0b2a3936</vt:lpwstr>
  </property>
  <property fmtid="{D5CDD505-2E9C-101B-9397-08002B2CF9AE}" pid="7" name="MSIP_Label_bf6fef03-d487-4433-8e43-6b81c0a1b7be_ActionId">
    <vt:lpwstr>88d9255b-1d80-49ab-8493-c65d68f5b5e8</vt:lpwstr>
  </property>
  <property fmtid="{D5CDD505-2E9C-101B-9397-08002B2CF9AE}" pid="8" name="MSIP_Label_bf6fef03-d487-4433-8e43-6b81c0a1b7be_ContentBits">
    <vt:lpwstr>0</vt:lpwstr>
  </property>
</Properties>
</file>