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A52E" w14:textId="6B18E7B8" w:rsidR="006E0624" w:rsidRDefault="006E0624" w:rsidP="006E062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Emily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Arton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u3220427</w:t>
      </w:r>
    </w:p>
    <w:p w14:paraId="768DC7CA" w14:textId="4FC7CEC4" w:rsidR="00DF0DFD" w:rsidRPr="006E0624" w:rsidRDefault="00DF0DFD" w:rsidP="006E0624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E0624">
        <w:rPr>
          <w:rFonts w:ascii="Calibri" w:hAnsi="Calibri" w:cs="Calibri"/>
          <w:b/>
          <w:bCs/>
          <w:sz w:val="22"/>
          <w:szCs w:val="22"/>
        </w:rPr>
        <w:t>Midwifery-led preconception care ‘prevention is better than the cure’</w:t>
      </w:r>
    </w:p>
    <w:p w14:paraId="65214DE9" w14:textId="6D3C1040" w:rsidR="00DF0DFD" w:rsidRDefault="006E0624" w:rsidP="006E0624">
      <w:pPr>
        <w:spacing w:line="360" w:lineRule="auto"/>
        <w:ind w:firstLine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Evidence shows that w</w:t>
      </w:r>
      <w:r w:rsidR="00C5520D" w:rsidRPr="00C5520D">
        <w:rPr>
          <w:rFonts w:ascii="Calibri" w:hAnsi="Calibri" w:cs="Calibri"/>
          <w:sz w:val="22"/>
          <w:szCs w:val="22"/>
        </w:rPr>
        <w:t>omen who do not receive preconception care</w:t>
      </w:r>
      <w:r w:rsidR="00DF0DFD">
        <w:rPr>
          <w:rFonts w:ascii="Calibri" w:hAnsi="Calibri" w:cs="Calibri"/>
          <w:sz w:val="22"/>
          <w:szCs w:val="22"/>
        </w:rPr>
        <w:t xml:space="preserve">, </w:t>
      </w:r>
      <w:r w:rsidR="00C5520D" w:rsidRPr="00C5520D">
        <w:rPr>
          <w:rFonts w:ascii="Calibri" w:hAnsi="Calibri" w:cs="Calibri"/>
          <w:sz w:val="22"/>
          <w:szCs w:val="22"/>
        </w:rPr>
        <w:t>have the potential to experience complex pregnancies and/or births, resulting in negative health outcomes</w:t>
      </w:r>
      <w:r w:rsidR="00DF0DFD">
        <w:rPr>
          <w:rFonts w:ascii="Calibri" w:hAnsi="Calibri" w:cs="Calibri"/>
          <w:sz w:val="22"/>
          <w:szCs w:val="22"/>
        </w:rPr>
        <w:t>. Negative outcomes include</w:t>
      </w:r>
      <w:r w:rsidR="00DF0D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5520D"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gestational diabetes, preterm birth, low birth weight, neural tube defects, maternal complications, and neonatal complications. Pre-conception care in Australia is generally provided by a general practitioner</w:t>
      </w:r>
      <w:r w:rsidR="00DF0D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5520D"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during a short appointment with women</w:t>
      </w:r>
      <w:r w:rsidR="00DF0D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H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owever, the</w:t>
      </w:r>
      <w:r w:rsidR="00C5520D"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ability to provide a full scope of preconception care is hindered by multiple factors</w:t>
      </w:r>
      <w:r w:rsidR="00ED2E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such as lack of </w:t>
      </w:r>
      <w:r w:rsidR="00C5520D"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time, </w:t>
      </w:r>
      <w:r w:rsidR="00C5520D" w:rsidRPr="00C5520D">
        <w:rPr>
          <w:sz w:val="22"/>
          <w:szCs w:val="22"/>
        </w:rPr>
        <w:t>PCC programming</w:t>
      </w:r>
      <w:r w:rsidR="00ED2E74">
        <w:rPr>
          <w:sz w:val="22"/>
          <w:szCs w:val="22"/>
        </w:rPr>
        <w:t xml:space="preserve"> and</w:t>
      </w:r>
      <w:r w:rsidR="00C5520D" w:rsidRPr="00C5520D">
        <w:rPr>
          <w:sz w:val="22"/>
          <w:szCs w:val="22"/>
        </w:rPr>
        <w:t xml:space="preserve"> knowledge, </w:t>
      </w:r>
      <w:r w:rsidR="00ED2E74">
        <w:rPr>
          <w:sz w:val="22"/>
          <w:szCs w:val="22"/>
        </w:rPr>
        <w:t xml:space="preserve">plus </w:t>
      </w:r>
      <w:r w:rsidR="00C5520D" w:rsidRPr="00C5520D">
        <w:rPr>
          <w:sz w:val="22"/>
          <w:szCs w:val="22"/>
        </w:rPr>
        <w:t xml:space="preserve">poor coordination of care, and lack of contact </w:t>
      </w:r>
      <w:r w:rsidR="00DF0DFD">
        <w:rPr>
          <w:sz w:val="22"/>
          <w:szCs w:val="22"/>
        </w:rPr>
        <w:t>during</w:t>
      </w:r>
      <w:r w:rsidR="00C5520D" w:rsidRPr="00C5520D">
        <w:rPr>
          <w:sz w:val="22"/>
          <w:szCs w:val="22"/>
        </w:rPr>
        <w:t xml:space="preserve"> the preconception period</w:t>
      </w:r>
      <w:r w:rsidR="00DF0DFD">
        <w:rPr>
          <w:sz w:val="22"/>
          <w:szCs w:val="22"/>
        </w:rPr>
        <w:t xml:space="preserve">. </w:t>
      </w:r>
      <w:r w:rsidR="00ED2E74">
        <w:rPr>
          <w:sz w:val="22"/>
          <w:szCs w:val="22"/>
        </w:rPr>
        <w:t>E</w:t>
      </w:r>
      <w:r w:rsidR="00ED2E74">
        <w:rPr>
          <w:rFonts w:ascii="Calibri" w:hAnsi="Calibri" w:cs="Calibri"/>
          <w:sz w:val="22"/>
          <w:szCs w:val="22"/>
        </w:rPr>
        <w:t xml:space="preserve">asily accessible midwifery-led preconception care (MLPCC) can </w:t>
      </w:r>
      <w:r w:rsidR="00ED2E74" w:rsidRPr="00C5520D">
        <w:rPr>
          <w:rFonts w:ascii="Calibri" w:hAnsi="Calibri" w:cs="Calibri"/>
          <w:sz w:val="22"/>
          <w:szCs w:val="22"/>
        </w:rPr>
        <w:t>identify and modify biomedical, social, and behavioural risks to women's health</w:t>
      </w:r>
      <w:r w:rsidR="00ED2E74">
        <w:rPr>
          <w:rFonts w:ascii="Calibri" w:hAnsi="Calibri" w:cs="Calibri"/>
          <w:sz w:val="22"/>
          <w:szCs w:val="22"/>
        </w:rPr>
        <w:t xml:space="preserve">, </w:t>
      </w:r>
      <w:r w:rsidR="00ED2E74" w:rsidRPr="00C5520D">
        <w:rPr>
          <w:rFonts w:ascii="Calibri" w:hAnsi="Calibri" w:cs="Calibri"/>
          <w:sz w:val="22"/>
          <w:szCs w:val="22"/>
        </w:rPr>
        <w:t>or pregnancy outcomes to optimise a woman's health before conception.</w:t>
      </w:r>
    </w:p>
    <w:p w14:paraId="7DE04826" w14:textId="34485000" w:rsidR="00DF0DFD" w:rsidRDefault="00DF0DFD" w:rsidP="006E0624">
      <w:pPr>
        <w:spacing w:line="360" w:lineRule="auto"/>
        <w:ind w:firstLine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</w:t>
      </w:r>
      <w:r w:rsidR="00C5520D"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ntroducing a</w:t>
      </w:r>
      <w:r w:rsidR="006E062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new service -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MLPCC, 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similar to childbirth education classes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led by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upskilled 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midwives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E062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may b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enefit 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women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their future pregnancies and reduce strain in hospitals by reducing comorbidities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Pre-conception care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ould be recommended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or referred to </w:t>
      </w:r>
      <w:r w:rsid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by general practitioners and promoted by pharmacies to inform women of childbearing age, or those who are looking to conceive. </w:t>
      </w:r>
    </w:p>
    <w:p w14:paraId="57955D7A" w14:textId="3C0ECE0A" w:rsidR="00C5520D" w:rsidRDefault="00C5520D" w:rsidP="006E0624">
      <w:pPr>
        <w:spacing w:line="360" w:lineRule="auto"/>
        <w:ind w:firstLine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Giving women the ability to attend pre-conception care classes</w:t>
      </w:r>
      <w:r w:rsidR="00DF0D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can equip them with the knowledge to change their lifestyle before conceiving</w:t>
      </w:r>
      <w:r w:rsidR="00DF0DF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6E062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Reducing pregnancy complications helps women and their babies experience better health outcomes and</w:t>
      </w:r>
      <w:r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reduces</w:t>
      </w:r>
      <w:r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the </w:t>
      </w:r>
      <w:r w:rsidR="00BF1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human and financial </w:t>
      </w:r>
      <w:r w:rsidRPr="00C5520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cost</w:t>
      </w:r>
      <w:r w:rsidR="00BF1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 on the health care </w:t>
      </w:r>
      <w:r w:rsidR="006E062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system.</w:t>
      </w:r>
    </w:p>
    <w:p w14:paraId="782C615B" w14:textId="599FC895" w:rsidR="00DF0DFD" w:rsidRDefault="00DF0DFD" w:rsidP="006E0624">
      <w:pPr>
        <w:spacing w:line="360" w:lineRule="auto"/>
        <w:ind w:firstLine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065A3BB" w14:textId="664711C0" w:rsidR="00C5520D" w:rsidRPr="00C5520D" w:rsidRDefault="00C5520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1FDACD7" w14:textId="77777777" w:rsidR="00C5520D" w:rsidRDefault="00C5520D" w:rsidP="00C5520D">
      <w:pPr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F80E444" w14:textId="1EC1E5AA" w:rsidR="00C5520D" w:rsidRPr="00C5520D" w:rsidRDefault="00C5520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F945FE3" w14:textId="4A2F32A0" w:rsidR="00C5520D" w:rsidRPr="00C5520D" w:rsidRDefault="00C5520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FB5EF95" w14:textId="02EFA036" w:rsidR="00C5520D" w:rsidRDefault="00C5520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DE1E3C0" w14:textId="1DEB1612" w:rsidR="00C5520D" w:rsidRDefault="00C5520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08B4562" w14:textId="78854B26" w:rsidR="007B6A53" w:rsidRDefault="007B6A53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CA0DCB4" w14:textId="323FAE72" w:rsidR="00DF0DFD" w:rsidRDefault="00DF0DF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0142913" w14:textId="307899B1" w:rsidR="00DF0DFD" w:rsidRDefault="00DF0DF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DACE256" w14:textId="0C73B837" w:rsidR="00DF0DFD" w:rsidRDefault="00DF0DFD" w:rsidP="00C5520D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C4A3ED1" w14:textId="77777777" w:rsidR="00DF0DFD" w:rsidRDefault="00DF0DFD" w:rsidP="00DF0DFD">
      <w:pPr>
        <w:pStyle w:val="NormalWeb"/>
        <w:spacing w:before="0" w:beforeAutospacing="0" w:after="0" w:afterAutospacing="0" w:line="480" w:lineRule="auto"/>
        <w:jc w:val="center"/>
        <w:rPr>
          <w:rFonts w:ascii="Calibri" w:hAnsi="Calibri" w:cs="Calibri"/>
        </w:rPr>
      </w:pPr>
    </w:p>
    <w:p w14:paraId="0821B8F2" w14:textId="77777777" w:rsidR="00DF0DFD" w:rsidRDefault="00DF0DFD" w:rsidP="00DF0DFD">
      <w:pPr>
        <w:pStyle w:val="NormalWeb"/>
        <w:spacing w:before="0" w:beforeAutospacing="0" w:after="0" w:afterAutospacing="0" w:line="480" w:lineRule="auto"/>
        <w:rPr>
          <w:rFonts w:ascii="Calibri" w:hAnsi="Calibri" w:cs="Calibri"/>
        </w:rPr>
      </w:pPr>
    </w:p>
    <w:p w14:paraId="70256492" w14:textId="1387BE6B" w:rsidR="006E0624" w:rsidRDefault="00DF0DFD" w:rsidP="006E062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E0624">
        <w:rPr>
          <w:rFonts w:ascii="Calibri" w:hAnsi="Calibri" w:cs="Calibri"/>
          <w:b/>
          <w:bCs/>
        </w:rPr>
        <w:lastRenderedPageBreak/>
        <w:t>References</w:t>
      </w:r>
      <w:r w:rsidR="001A07BB">
        <w:rPr>
          <w:rFonts w:ascii="Calibri" w:hAnsi="Calibri" w:cs="Calibri"/>
          <w:b/>
          <w:bCs/>
        </w:rPr>
        <w:t>:</w:t>
      </w:r>
    </w:p>
    <w:p w14:paraId="2B17431F" w14:textId="544CA616" w:rsidR="006E0624" w:rsidRPr="006E0624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  <w:b/>
          <w:bCs/>
        </w:rPr>
      </w:pPr>
      <w:proofErr w:type="spellStart"/>
      <w:r w:rsidRPr="00DF0DFD">
        <w:rPr>
          <w:rFonts w:ascii="Calibri" w:hAnsi="Calibri" w:cs="Calibri"/>
        </w:rPr>
        <w:t>Chivers</w:t>
      </w:r>
      <w:proofErr w:type="spellEnd"/>
      <w:r w:rsidRPr="00DF0DFD">
        <w:rPr>
          <w:rFonts w:ascii="Calibri" w:hAnsi="Calibri" w:cs="Calibri"/>
        </w:rPr>
        <w:t xml:space="preserve">, B. R., Boyle, J. A., Lang, A. Y., </w:t>
      </w:r>
      <w:proofErr w:type="spellStart"/>
      <w:r w:rsidRPr="00DF0DFD">
        <w:rPr>
          <w:rFonts w:ascii="Calibri" w:hAnsi="Calibri" w:cs="Calibri"/>
        </w:rPr>
        <w:t>Teede</w:t>
      </w:r>
      <w:proofErr w:type="spellEnd"/>
      <w:r w:rsidRPr="00DF0DFD">
        <w:rPr>
          <w:rFonts w:ascii="Calibri" w:hAnsi="Calibri" w:cs="Calibri"/>
        </w:rPr>
        <w:t xml:space="preserve">, H. J., Moran, L. J., &amp; Harrison, C. L. (2020). Preconception health and lifestyle behaviours of women planning a pregnancy: A Cross-Sectional Study. </w:t>
      </w:r>
      <w:r w:rsidRPr="00DF0DFD">
        <w:rPr>
          <w:rFonts w:ascii="Calibri" w:hAnsi="Calibri" w:cs="Calibri"/>
          <w:i/>
          <w:iCs/>
        </w:rPr>
        <w:t>Journal of Clinical Medicine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9</w:t>
      </w:r>
      <w:r w:rsidRPr="00DF0DFD">
        <w:rPr>
          <w:rFonts w:ascii="Calibri" w:hAnsi="Calibri" w:cs="Calibri"/>
        </w:rPr>
        <w:t xml:space="preserve">(6), 1701. </w:t>
      </w:r>
      <w:hyperlink r:id="rId6" w:history="1">
        <w:r w:rsidR="001A07BB" w:rsidRPr="006423D2">
          <w:rPr>
            <w:rStyle w:val="Hyperlink"/>
            <w:rFonts w:ascii="Calibri" w:hAnsi="Calibri" w:cs="Calibri"/>
          </w:rPr>
          <w:t>https://doi.org/10.3390/jcm9061701</w:t>
        </w:r>
      </w:hyperlink>
      <w:r w:rsidR="001A07BB">
        <w:rPr>
          <w:rFonts w:ascii="Calibri" w:hAnsi="Calibri" w:cs="Calibri"/>
        </w:rPr>
        <w:t xml:space="preserve"> </w:t>
      </w:r>
    </w:p>
    <w:p w14:paraId="3676D188" w14:textId="02C7C74C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proofErr w:type="spellStart"/>
      <w:r w:rsidRPr="00DF0DFD">
        <w:rPr>
          <w:rFonts w:ascii="Calibri" w:hAnsi="Calibri" w:cs="Calibri"/>
        </w:rPr>
        <w:t>DeJoy</w:t>
      </w:r>
      <w:proofErr w:type="spellEnd"/>
      <w:r w:rsidRPr="00DF0DFD">
        <w:rPr>
          <w:rFonts w:ascii="Calibri" w:hAnsi="Calibri" w:cs="Calibri"/>
        </w:rPr>
        <w:t xml:space="preserve">, S. B. (2014). Pilot test of a preconception and midwifery care promotion program for college women. </w:t>
      </w:r>
      <w:r w:rsidRPr="00DF0DFD">
        <w:rPr>
          <w:rFonts w:ascii="Calibri" w:hAnsi="Calibri" w:cs="Calibri"/>
          <w:i/>
          <w:iCs/>
        </w:rPr>
        <w:t>Journal of Midwifery &amp; Women’s Health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59</w:t>
      </w:r>
      <w:r w:rsidRPr="00DF0DFD">
        <w:rPr>
          <w:rFonts w:ascii="Calibri" w:hAnsi="Calibri" w:cs="Calibri"/>
        </w:rPr>
        <w:t xml:space="preserve">(5), 523–527. </w:t>
      </w:r>
      <w:hyperlink r:id="rId7" w:history="1">
        <w:r w:rsidR="001A07BB" w:rsidRPr="006423D2">
          <w:rPr>
            <w:rStyle w:val="Hyperlink"/>
            <w:rFonts w:ascii="Calibri" w:hAnsi="Calibri" w:cs="Calibri"/>
          </w:rPr>
          <w:t>https://doi.org/10.1111/jmwh.12106</w:t>
        </w:r>
      </w:hyperlink>
      <w:r w:rsidR="001A07BB">
        <w:rPr>
          <w:rFonts w:ascii="Calibri" w:hAnsi="Calibri" w:cs="Calibri"/>
        </w:rPr>
        <w:t xml:space="preserve"> </w:t>
      </w:r>
    </w:p>
    <w:p w14:paraId="07511D03" w14:textId="7500819A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r w:rsidRPr="00DF0DFD">
        <w:rPr>
          <w:rFonts w:ascii="Calibri" w:hAnsi="Calibri" w:cs="Calibri"/>
        </w:rPr>
        <w:t xml:space="preserve">Eastwood, K., Allen-Walker, V. A., Maxwell, M., &amp; McKinley, M. C. (2022). Raising awareness of pre-conception care in community pharmacies: A feasibility study. </w:t>
      </w:r>
      <w:r w:rsidRPr="00DF0DFD">
        <w:rPr>
          <w:rFonts w:ascii="Calibri" w:hAnsi="Calibri" w:cs="Calibri"/>
          <w:i/>
          <w:iCs/>
        </w:rPr>
        <w:t>Pilot and Feasibility Studies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8</w:t>
      </w:r>
      <w:r w:rsidRPr="00DF0DFD">
        <w:rPr>
          <w:rFonts w:ascii="Calibri" w:hAnsi="Calibri" w:cs="Calibri"/>
        </w:rPr>
        <w:t xml:space="preserve">(1). </w:t>
      </w:r>
      <w:hyperlink r:id="rId8" w:history="1">
        <w:r w:rsidR="001A07BB" w:rsidRPr="006423D2">
          <w:rPr>
            <w:rStyle w:val="Hyperlink"/>
            <w:rFonts w:ascii="Calibri" w:hAnsi="Calibri" w:cs="Calibri"/>
          </w:rPr>
          <w:t>https://doi.org/10.1186/s40814-022-01001-7</w:t>
        </w:r>
      </w:hyperlink>
      <w:r w:rsidR="001A07BB">
        <w:rPr>
          <w:rFonts w:ascii="Calibri" w:hAnsi="Calibri" w:cs="Calibri"/>
        </w:rPr>
        <w:t xml:space="preserve"> </w:t>
      </w:r>
    </w:p>
    <w:p w14:paraId="4DD29DF5" w14:textId="0710866C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proofErr w:type="spellStart"/>
      <w:r w:rsidRPr="00DF0DFD">
        <w:rPr>
          <w:rFonts w:ascii="Calibri" w:hAnsi="Calibri" w:cs="Calibri"/>
        </w:rPr>
        <w:t>Hammarberg</w:t>
      </w:r>
      <w:proofErr w:type="spellEnd"/>
      <w:r w:rsidRPr="00DF0DFD">
        <w:rPr>
          <w:rFonts w:ascii="Calibri" w:hAnsi="Calibri" w:cs="Calibri"/>
        </w:rPr>
        <w:t xml:space="preserve">, K., &amp; Stocker, R. (2021). Evaluation of an online learning module to improve nurses. </w:t>
      </w:r>
      <w:r w:rsidRPr="00DF0DFD">
        <w:rPr>
          <w:rFonts w:ascii="Calibri" w:hAnsi="Calibri" w:cs="Calibri"/>
          <w:i/>
          <w:iCs/>
        </w:rPr>
        <w:t>Australian Journal of Primary Health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13</w:t>
      </w:r>
      <w:r w:rsidRPr="00DF0DFD">
        <w:rPr>
          <w:rFonts w:ascii="Calibri" w:hAnsi="Calibri" w:cs="Calibri"/>
        </w:rPr>
        <w:t xml:space="preserve">(1). </w:t>
      </w:r>
      <w:hyperlink r:id="rId9" w:history="1">
        <w:r w:rsidR="001A07BB" w:rsidRPr="006423D2">
          <w:rPr>
            <w:rStyle w:val="Hyperlink"/>
            <w:rFonts w:ascii="Calibri" w:hAnsi="Calibri" w:cs="Calibri"/>
          </w:rPr>
          <w:t>https://doi.org/10.1071/py21026</w:t>
        </w:r>
      </w:hyperlink>
      <w:r w:rsidR="001A07BB">
        <w:rPr>
          <w:rFonts w:ascii="Calibri" w:hAnsi="Calibri" w:cs="Calibri"/>
        </w:rPr>
        <w:t xml:space="preserve"> </w:t>
      </w:r>
    </w:p>
    <w:p w14:paraId="24029DBE" w14:textId="1ABAD3AC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proofErr w:type="spellStart"/>
      <w:r w:rsidRPr="00DF0DFD">
        <w:rPr>
          <w:rFonts w:ascii="Calibri" w:hAnsi="Calibri" w:cs="Calibri"/>
        </w:rPr>
        <w:t>Jourabchi</w:t>
      </w:r>
      <w:proofErr w:type="spellEnd"/>
      <w:r w:rsidRPr="00DF0DFD">
        <w:rPr>
          <w:rFonts w:ascii="Calibri" w:hAnsi="Calibri" w:cs="Calibri"/>
        </w:rPr>
        <w:t xml:space="preserve">, Z., Sharif, S., Lye, M. S., Saeed, A., Khor, G. L., &amp; Tajuddin, S. H. S. (2018). Association between preconception care and birth outcomes. </w:t>
      </w:r>
      <w:r w:rsidRPr="00DF0DFD">
        <w:rPr>
          <w:rFonts w:ascii="Calibri" w:hAnsi="Calibri" w:cs="Calibri"/>
          <w:i/>
          <w:iCs/>
        </w:rPr>
        <w:t>American Journal of Health Promotion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33</w:t>
      </w:r>
      <w:r w:rsidRPr="00DF0DFD">
        <w:rPr>
          <w:rFonts w:ascii="Calibri" w:hAnsi="Calibri" w:cs="Calibri"/>
        </w:rPr>
        <w:t xml:space="preserve">(3), 363–371. </w:t>
      </w:r>
      <w:hyperlink r:id="rId10" w:history="1">
        <w:r w:rsidR="001A07BB" w:rsidRPr="006423D2">
          <w:rPr>
            <w:rStyle w:val="Hyperlink"/>
            <w:rFonts w:ascii="Calibri" w:hAnsi="Calibri" w:cs="Calibri"/>
          </w:rPr>
          <w:t>https://doi.org/10.1177/0890117118779808</w:t>
        </w:r>
      </w:hyperlink>
      <w:r w:rsidR="001A07BB">
        <w:rPr>
          <w:rFonts w:ascii="Calibri" w:hAnsi="Calibri" w:cs="Calibri"/>
        </w:rPr>
        <w:t xml:space="preserve"> </w:t>
      </w:r>
    </w:p>
    <w:p w14:paraId="136A3E6B" w14:textId="5BC5A720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r w:rsidRPr="00DF0DFD">
        <w:rPr>
          <w:rFonts w:ascii="Calibri" w:hAnsi="Calibri" w:cs="Calibri"/>
        </w:rPr>
        <w:t xml:space="preserve">Lang, A. Y., Harrison, C. L., &amp; Boyle, J. A. (2022). Australian women’s information‐seeking preferences and needs in preparation for pregnancy. </w:t>
      </w:r>
      <w:r w:rsidRPr="00DF0DFD">
        <w:rPr>
          <w:rFonts w:ascii="Calibri" w:hAnsi="Calibri" w:cs="Calibri"/>
          <w:i/>
          <w:iCs/>
        </w:rPr>
        <w:t>Health Promotion Journal of Australia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34</w:t>
      </w:r>
      <w:r w:rsidRPr="00DF0DFD">
        <w:rPr>
          <w:rFonts w:ascii="Calibri" w:hAnsi="Calibri" w:cs="Calibri"/>
        </w:rPr>
        <w:t xml:space="preserve">(1). </w:t>
      </w:r>
      <w:hyperlink r:id="rId11" w:history="1">
        <w:r w:rsidR="001A07BB" w:rsidRPr="006423D2">
          <w:rPr>
            <w:rStyle w:val="Hyperlink"/>
            <w:rFonts w:ascii="Calibri" w:hAnsi="Calibri" w:cs="Calibri"/>
          </w:rPr>
          <w:t>https://doi.org/10.1002/hpja.619</w:t>
        </w:r>
      </w:hyperlink>
      <w:r w:rsidR="001A07BB">
        <w:rPr>
          <w:rFonts w:ascii="Calibri" w:hAnsi="Calibri" w:cs="Calibri"/>
        </w:rPr>
        <w:t xml:space="preserve"> </w:t>
      </w:r>
    </w:p>
    <w:p w14:paraId="6DE951C8" w14:textId="315A0DDC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r w:rsidRPr="00DF0DFD">
        <w:rPr>
          <w:rFonts w:ascii="Calibri" w:hAnsi="Calibri" w:cs="Calibri"/>
        </w:rPr>
        <w:t xml:space="preserve">Lang, A. Y., Harrison, C. L., Barrett, G., Hall, J. A., Moran, L. J., &amp; Boyle, J. A. (2020). Opportunities for enhancing pregnancy planning and preconception health behaviours of </w:t>
      </w:r>
      <w:r>
        <w:rPr>
          <w:rFonts w:ascii="Calibri" w:hAnsi="Calibri" w:cs="Calibri"/>
        </w:rPr>
        <w:t>A</w:t>
      </w:r>
      <w:r w:rsidRPr="00DF0DFD">
        <w:rPr>
          <w:rFonts w:ascii="Calibri" w:hAnsi="Calibri" w:cs="Calibri"/>
        </w:rPr>
        <w:t xml:space="preserve">ustralian women. </w:t>
      </w:r>
      <w:r w:rsidRPr="00DF0DFD">
        <w:rPr>
          <w:rFonts w:ascii="Calibri" w:hAnsi="Calibri" w:cs="Calibri"/>
          <w:i/>
          <w:iCs/>
        </w:rPr>
        <w:t>Women and Birth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34</w:t>
      </w:r>
      <w:r w:rsidRPr="00DF0DFD">
        <w:rPr>
          <w:rFonts w:ascii="Calibri" w:hAnsi="Calibri" w:cs="Calibri"/>
        </w:rPr>
        <w:t xml:space="preserve">(2). </w:t>
      </w:r>
      <w:hyperlink r:id="rId12" w:history="1">
        <w:r w:rsidR="001A07BB" w:rsidRPr="006423D2">
          <w:rPr>
            <w:rStyle w:val="Hyperlink"/>
            <w:rFonts w:ascii="Calibri" w:hAnsi="Calibri" w:cs="Calibri"/>
          </w:rPr>
          <w:t>https://doi.org/10.1016/j.wombi.2020.02.022</w:t>
        </w:r>
      </w:hyperlink>
      <w:r w:rsidR="001A07BB">
        <w:rPr>
          <w:rFonts w:ascii="Calibri" w:hAnsi="Calibri" w:cs="Calibri"/>
        </w:rPr>
        <w:t xml:space="preserve"> </w:t>
      </w:r>
    </w:p>
    <w:p w14:paraId="2AF3475D" w14:textId="3DD786A8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r w:rsidRPr="00DF0DFD">
        <w:rPr>
          <w:rFonts w:ascii="Calibri" w:hAnsi="Calibri" w:cs="Calibri"/>
        </w:rPr>
        <w:t xml:space="preserve">Lassi, Z. S., Dean, S. V., Mallick, D., &amp; </w:t>
      </w:r>
      <w:proofErr w:type="spellStart"/>
      <w:r w:rsidRPr="00DF0DFD">
        <w:rPr>
          <w:rFonts w:ascii="Calibri" w:hAnsi="Calibri" w:cs="Calibri"/>
        </w:rPr>
        <w:t>Bhutta</w:t>
      </w:r>
      <w:proofErr w:type="spellEnd"/>
      <w:r w:rsidRPr="00DF0DFD">
        <w:rPr>
          <w:rFonts w:ascii="Calibri" w:hAnsi="Calibri" w:cs="Calibri"/>
        </w:rPr>
        <w:t xml:space="preserve">, Z. A. (2014). Preconception care: Delivery strategies and packages for care. </w:t>
      </w:r>
      <w:r w:rsidRPr="00DF0DFD">
        <w:rPr>
          <w:rFonts w:ascii="Calibri" w:hAnsi="Calibri" w:cs="Calibri"/>
          <w:i/>
          <w:iCs/>
        </w:rPr>
        <w:t>Reproductive Health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11</w:t>
      </w:r>
      <w:r w:rsidRPr="00DF0DFD">
        <w:rPr>
          <w:rFonts w:ascii="Calibri" w:hAnsi="Calibri" w:cs="Calibri"/>
        </w:rPr>
        <w:t xml:space="preserve">(Suppl 3). </w:t>
      </w:r>
      <w:hyperlink r:id="rId13" w:history="1">
        <w:r w:rsidR="001A07BB" w:rsidRPr="006423D2">
          <w:rPr>
            <w:rStyle w:val="Hyperlink"/>
            <w:rFonts w:ascii="Calibri" w:hAnsi="Calibri" w:cs="Calibri"/>
          </w:rPr>
          <w:t>https://doi.org/10.1186/1742-4755-11-s3-s7</w:t>
        </w:r>
      </w:hyperlink>
      <w:r w:rsidR="001A07BB">
        <w:rPr>
          <w:rFonts w:ascii="Calibri" w:hAnsi="Calibri" w:cs="Calibri"/>
        </w:rPr>
        <w:t xml:space="preserve"> </w:t>
      </w:r>
    </w:p>
    <w:p w14:paraId="52058F3B" w14:textId="400C9F28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r w:rsidRPr="00DF0DFD">
        <w:rPr>
          <w:rFonts w:ascii="Calibri" w:hAnsi="Calibri" w:cs="Calibri"/>
        </w:rPr>
        <w:t xml:space="preserve">Maas, V. Y. F., </w:t>
      </w:r>
      <w:proofErr w:type="spellStart"/>
      <w:r w:rsidRPr="00DF0DFD">
        <w:rPr>
          <w:rFonts w:ascii="Calibri" w:hAnsi="Calibri" w:cs="Calibri"/>
        </w:rPr>
        <w:t>Poels</w:t>
      </w:r>
      <w:proofErr w:type="spellEnd"/>
      <w:r w:rsidRPr="00DF0DFD">
        <w:rPr>
          <w:rFonts w:ascii="Calibri" w:hAnsi="Calibri" w:cs="Calibri"/>
        </w:rPr>
        <w:t xml:space="preserve">, M., </w:t>
      </w:r>
      <w:proofErr w:type="spellStart"/>
      <w:r w:rsidRPr="00DF0DFD">
        <w:rPr>
          <w:rFonts w:ascii="Calibri" w:hAnsi="Calibri" w:cs="Calibri"/>
        </w:rPr>
        <w:t>Hölscher</w:t>
      </w:r>
      <w:proofErr w:type="spellEnd"/>
      <w:r w:rsidRPr="00DF0DFD">
        <w:rPr>
          <w:rFonts w:ascii="Calibri" w:hAnsi="Calibri" w:cs="Calibri"/>
        </w:rPr>
        <w:t>, I. M., van Vliet-</w:t>
      </w:r>
      <w:proofErr w:type="spellStart"/>
      <w:r w:rsidRPr="00DF0DFD">
        <w:rPr>
          <w:rFonts w:ascii="Calibri" w:hAnsi="Calibri" w:cs="Calibri"/>
        </w:rPr>
        <w:t>Lachotzki</w:t>
      </w:r>
      <w:proofErr w:type="spellEnd"/>
      <w:r w:rsidRPr="00DF0DFD">
        <w:rPr>
          <w:rFonts w:ascii="Calibri" w:hAnsi="Calibri" w:cs="Calibri"/>
        </w:rPr>
        <w:t xml:space="preserve">, E. H., </w:t>
      </w:r>
      <w:proofErr w:type="spellStart"/>
      <w:r w:rsidRPr="00DF0DFD">
        <w:rPr>
          <w:rFonts w:ascii="Calibri" w:hAnsi="Calibri" w:cs="Calibri"/>
        </w:rPr>
        <w:t>Franx</w:t>
      </w:r>
      <w:proofErr w:type="spellEnd"/>
      <w:r w:rsidRPr="00DF0DFD">
        <w:rPr>
          <w:rFonts w:ascii="Calibri" w:hAnsi="Calibri" w:cs="Calibri"/>
        </w:rPr>
        <w:t xml:space="preserve">, A., &amp; </w:t>
      </w:r>
      <w:proofErr w:type="spellStart"/>
      <w:r w:rsidRPr="00DF0DFD">
        <w:rPr>
          <w:rFonts w:ascii="Calibri" w:hAnsi="Calibri" w:cs="Calibri"/>
        </w:rPr>
        <w:t>Koster</w:t>
      </w:r>
      <w:proofErr w:type="spellEnd"/>
      <w:r w:rsidRPr="00DF0DFD">
        <w:rPr>
          <w:rFonts w:ascii="Calibri" w:hAnsi="Calibri" w:cs="Calibri"/>
        </w:rPr>
        <w:t xml:space="preserve">, M. P. H. (2022). How to improve preconception care in a local setting? Views from </w:t>
      </w:r>
      <w:r>
        <w:rPr>
          <w:rFonts w:ascii="Calibri" w:hAnsi="Calibri" w:cs="Calibri"/>
        </w:rPr>
        <w:t>D</w:t>
      </w:r>
      <w:r w:rsidRPr="00DF0DFD">
        <w:rPr>
          <w:rFonts w:ascii="Calibri" w:hAnsi="Calibri" w:cs="Calibri"/>
        </w:rPr>
        <w:t xml:space="preserve">utch multidisciplinary healthcare providers. </w:t>
      </w:r>
      <w:r w:rsidRPr="00DF0DFD">
        <w:rPr>
          <w:rFonts w:ascii="Calibri" w:hAnsi="Calibri" w:cs="Calibri"/>
          <w:i/>
          <w:iCs/>
        </w:rPr>
        <w:t>Midwifery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107</w:t>
      </w:r>
      <w:r w:rsidRPr="00DF0DFD">
        <w:rPr>
          <w:rFonts w:ascii="Calibri" w:hAnsi="Calibri" w:cs="Calibri"/>
        </w:rPr>
        <w:t xml:space="preserve">, 103274. </w:t>
      </w:r>
      <w:hyperlink r:id="rId14" w:history="1">
        <w:r w:rsidR="001A07BB" w:rsidRPr="006423D2">
          <w:rPr>
            <w:rStyle w:val="Hyperlink"/>
            <w:rFonts w:ascii="Calibri" w:hAnsi="Calibri" w:cs="Calibri"/>
          </w:rPr>
          <w:t>https://doi.org/10.1016/j.midw.2022.103274</w:t>
        </w:r>
      </w:hyperlink>
      <w:r w:rsidR="001A07BB">
        <w:rPr>
          <w:rFonts w:ascii="Calibri" w:hAnsi="Calibri" w:cs="Calibri"/>
        </w:rPr>
        <w:t xml:space="preserve"> </w:t>
      </w:r>
    </w:p>
    <w:p w14:paraId="3A54991C" w14:textId="1EB73260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r w:rsidRPr="00DF0DFD">
        <w:rPr>
          <w:rFonts w:ascii="Calibri" w:hAnsi="Calibri" w:cs="Calibri"/>
        </w:rPr>
        <w:t xml:space="preserve">Musgrave, L., Homer, C., &amp; Gordon, A. (2023). Knowledge, attitudes and behaviours surrounding preconception and pregnancy health: an Australian cross-sectional survey. </w:t>
      </w:r>
      <w:r w:rsidRPr="00DF0DFD">
        <w:rPr>
          <w:rFonts w:ascii="Calibri" w:hAnsi="Calibri" w:cs="Calibri"/>
          <w:i/>
          <w:iCs/>
        </w:rPr>
        <w:t>BMJ Open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13</w:t>
      </w:r>
      <w:r w:rsidRPr="00DF0DFD">
        <w:rPr>
          <w:rFonts w:ascii="Calibri" w:hAnsi="Calibri" w:cs="Calibri"/>
        </w:rPr>
        <w:t xml:space="preserve">(1), e065055. </w:t>
      </w:r>
      <w:hyperlink r:id="rId15" w:history="1">
        <w:r w:rsidR="001A07BB" w:rsidRPr="006423D2">
          <w:rPr>
            <w:rStyle w:val="Hyperlink"/>
            <w:rFonts w:ascii="Calibri" w:hAnsi="Calibri" w:cs="Calibri"/>
          </w:rPr>
          <w:t>https://doi.org/10.1136/bmjopen-2022-065055</w:t>
        </w:r>
      </w:hyperlink>
      <w:r w:rsidR="001A07BB">
        <w:rPr>
          <w:rFonts w:ascii="Calibri" w:hAnsi="Calibri" w:cs="Calibri"/>
        </w:rPr>
        <w:t xml:space="preserve"> </w:t>
      </w:r>
    </w:p>
    <w:p w14:paraId="5A82965F" w14:textId="7C66641F" w:rsidR="006E0624" w:rsidRPr="00DF0DFD" w:rsidRDefault="006E0624" w:rsidP="001A07BB">
      <w:pPr>
        <w:pStyle w:val="NormalWeb"/>
        <w:spacing w:before="0" w:beforeAutospacing="0" w:after="0" w:afterAutospacing="0"/>
        <w:ind w:left="357" w:hanging="357"/>
        <w:rPr>
          <w:rFonts w:ascii="Calibri" w:hAnsi="Calibri" w:cs="Calibri"/>
        </w:rPr>
      </w:pPr>
      <w:proofErr w:type="spellStart"/>
      <w:r w:rsidRPr="00DF0DFD">
        <w:rPr>
          <w:rFonts w:ascii="Calibri" w:hAnsi="Calibri" w:cs="Calibri"/>
        </w:rPr>
        <w:t>Nacev</w:t>
      </w:r>
      <w:proofErr w:type="spellEnd"/>
      <w:r w:rsidRPr="00DF0DFD">
        <w:rPr>
          <w:rFonts w:ascii="Calibri" w:hAnsi="Calibri" w:cs="Calibri"/>
        </w:rPr>
        <w:t xml:space="preserve">, E. C., Greene, M. Z., Taboada, M. P., &amp; </w:t>
      </w:r>
      <w:proofErr w:type="spellStart"/>
      <w:r w:rsidRPr="00DF0DFD">
        <w:rPr>
          <w:rFonts w:ascii="Calibri" w:hAnsi="Calibri" w:cs="Calibri"/>
        </w:rPr>
        <w:t>Ehrenthal</w:t>
      </w:r>
      <w:proofErr w:type="spellEnd"/>
      <w:r w:rsidRPr="00DF0DFD">
        <w:rPr>
          <w:rFonts w:ascii="Calibri" w:hAnsi="Calibri" w:cs="Calibri"/>
        </w:rPr>
        <w:t xml:space="preserve">, D. B. (2022). Factors </w:t>
      </w:r>
      <w:r>
        <w:rPr>
          <w:rFonts w:ascii="Calibri" w:hAnsi="Calibri" w:cs="Calibri"/>
        </w:rPr>
        <w:t>i</w:t>
      </w:r>
      <w:r w:rsidRPr="00DF0DFD">
        <w:rPr>
          <w:rFonts w:ascii="Calibri" w:hAnsi="Calibri" w:cs="Calibri"/>
        </w:rPr>
        <w:t xml:space="preserve">nfluencing </w:t>
      </w:r>
      <w:r>
        <w:rPr>
          <w:rFonts w:ascii="Calibri" w:hAnsi="Calibri" w:cs="Calibri"/>
        </w:rPr>
        <w:t>p</w:t>
      </w:r>
      <w:r w:rsidRPr="00DF0DFD">
        <w:rPr>
          <w:rFonts w:ascii="Calibri" w:hAnsi="Calibri" w:cs="Calibri"/>
        </w:rPr>
        <w:t xml:space="preserve">rovider </w:t>
      </w:r>
      <w:proofErr w:type="spellStart"/>
      <w:r>
        <w:rPr>
          <w:rFonts w:ascii="Calibri" w:hAnsi="Calibri" w:cs="Calibri"/>
        </w:rPr>
        <w:t>b</w:t>
      </w:r>
      <w:r w:rsidRPr="00DF0DFD">
        <w:rPr>
          <w:rFonts w:ascii="Calibri" w:hAnsi="Calibri" w:cs="Calibri"/>
        </w:rPr>
        <w:t>ehavior</w:t>
      </w:r>
      <w:proofErr w:type="spellEnd"/>
      <w:r w:rsidRPr="00DF0D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DF0DFD">
        <w:rPr>
          <w:rFonts w:ascii="Calibri" w:hAnsi="Calibri" w:cs="Calibri"/>
        </w:rPr>
        <w:t xml:space="preserve">round </w:t>
      </w:r>
      <w:r>
        <w:rPr>
          <w:rFonts w:ascii="Calibri" w:hAnsi="Calibri" w:cs="Calibri"/>
        </w:rPr>
        <w:t>d</w:t>
      </w:r>
      <w:r w:rsidRPr="00DF0DFD">
        <w:rPr>
          <w:rFonts w:ascii="Calibri" w:hAnsi="Calibri" w:cs="Calibri"/>
        </w:rPr>
        <w:t xml:space="preserve">elivery of </w:t>
      </w:r>
      <w:r>
        <w:rPr>
          <w:rFonts w:ascii="Calibri" w:hAnsi="Calibri" w:cs="Calibri"/>
        </w:rPr>
        <w:t>p</w:t>
      </w:r>
      <w:r w:rsidRPr="00DF0DFD">
        <w:rPr>
          <w:rFonts w:ascii="Calibri" w:hAnsi="Calibri" w:cs="Calibri"/>
        </w:rPr>
        <w:t xml:space="preserve">reconception </w:t>
      </w:r>
      <w:r>
        <w:rPr>
          <w:rFonts w:ascii="Calibri" w:hAnsi="Calibri" w:cs="Calibri"/>
        </w:rPr>
        <w:t>c</w:t>
      </w:r>
      <w:r w:rsidRPr="00DF0DFD">
        <w:rPr>
          <w:rFonts w:ascii="Calibri" w:hAnsi="Calibri" w:cs="Calibri"/>
        </w:rPr>
        <w:t xml:space="preserve">are. </w:t>
      </w:r>
      <w:r w:rsidRPr="00DF0DFD">
        <w:rPr>
          <w:rFonts w:ascii="Calibri" w:hAnsi="Calibri" w:cs="Calibri"/>
          <w:i/>
          <w:iCs/>
        </w:rPr>
        <w:t>Maternal and Child Health Journal</w:t>
      </w:r>
      <w:r w:rsidRPr="00DF0DFD">
        <w:rPr>
          <w:rFonts w:ascii="Calibri" w:hAnsi="Calibri" w:cs="Calibri"/>
        </w:rPr>
        <w:t xml:space="preserve">, </w:t>
      </w:r>
      <w:r w:rsidRPr="00DF0DFD">
        <w:rPr>
          <w:rFonts w:ascii="Calibri" w:hAnsi="Calibri" w:cs="Calibri"/>
          <w:i/>
          <w:iCs/>
        </w:rPr>
        <w:t>26</w:t>
      </w:r>
      <w:r w:rsidRPr="00DF0DFD">
        <w:rPr>
          <w:rFonts w:ascii="Calibri" w:hAnsi="Calibri" w:cs="Calibri"/>
        </w:rPr>
        <w:t xml:space="preserve">(7), 1567–1575. </w:t>
      </w:r>
      <w:hyperlink r:id="rId16" w:history="1">
        <w:r w:rsidR="001A07BB" w:rsidRPr="006423D2">
          <w:rPr>
            <w:rStyle w:val="Hyperlink"/>
            <w:rFonts w:ascii="Calibri" w:hAnsi="Calibri" w:cs="Calibri"/>
          </w:rPr>
          <w:t>https://doi.org/10.1007/s10995-022-03411-8</w:t>
        </w:r>
      </w:hyperlink>
      <w:r w:rsidR="001A07BB">
        <w:rPr>
          <w:rFonts w:ascii="Calibri" w:hAnsi="Calibri" w:cs="Calibri"/>
        </w:rPr>
        <w:t xml:space="preserve"> </w:t>
      </w:r>
    </w:p>
    <w:p w14:paraId="46CC79E0" w14:textId="77777777" w:rsidR="00DF0DFD" w:rsidRPr="00DF0DFD" w:rsidRDefault="00DF0DFD" w:rsidP="001A07BB">
      <w:pPr>
        <w:ind w:left="357" w:hanging="357"/>
        <w:rPr>
          <w:rFonts w:ascii="Calibri" w:hAnsi="Calibri" w:cs="Calibri"/>
          <w:sz w:val="22"/>
          <w:szCs w:val="22"/>
        </w:rPr>
      </w:pPr>
    </w:p>
    <w:sectPr w:rsidR="00DF0DFD" w:rsidRPr="00DF0DFD" w:rsidSect="00DF0DFD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FBB3" w14:textId="77777777" w:rsidR="00CC2173" w:rsidRDefault="00CC2173" w:rsidP="00DF0DFD">
      <w:r>
        <w:separator/>
      </w:r>
    </w:p>
  </w:endnote>
  <w:endnote w:type="continuationSeparator" w:id="0">
    <w:p w14:paraId="65BB882E" w14:textId="77777777" w:rsidR="00CC2173" w:rsidRDefault="00CC2173" w:rsidP="00DF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2370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0E67C" w14:textId="0A9F7C34" w:rsidR="00DF0DFD" w:rsidRDefault="00DF0DFD" w:rsidP="004762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CD1E52" w14:textId="77777777" w:rsidR="00DF0DFD" w:rsidRDefault="00DF0DFD" w:rsidP="00DF0D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84EB" w14:textId="77777777" w:rsidR="00000000" w:rsidRDefault="001A07B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F659" w14:textId="77777777" w:rsidR="00CC2173" w:rsidRDefault="00CC2173" w:rsidP="00DF0DFD">
      <w:r>
        <w:separator/>
      </w:r>
    </w:p>
  </w:footnote>
  <w:footnote w:type="continuationSeparator" w:id="0">
    <w:p w14:paraId="0548DC8A" w14:textId="77777777" w:rsidR="00CC2173" w:rsidRDefault="00CC2173" w:rsidP="00DF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D"/>
    <w:rsid w:val="000E2376"/>
    <w:rsid w:val="001A07BB"/>
    <w:rsid w:val="0060307B"/>
    <w:rsid w:val="006E0624"/>
    <w:rsid w:val="007B6A53"/>
    <w:rsid w:val="007C186F"/>
    <w:rsid w:val="00BF19BF"/>
    <w:rsid w:val="00C5520D"/>
    <w:rsid w:val="00CC2173"/>
    <w:rsid w:val="00DF0DFD"/>
    <w:rsid w:val="00E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6C8A"/>
  <w15:chartTrackingRefBased/>
  <w15:docId w15:val="{AD24E30F-D885-E544-A441-0D5D6DB8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2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link w:val="NoSpacingChar"/>
    <w:uiPriority w:val="1"/>
    <w:qFormat/>
    <w:rsid w:val="00DF0DF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F0DFD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F0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FD"/>
  </w:style>
  <w:style w:type="paragraph" w:styleId="Footer">
    <w:name w:val="footer"/>
    <w:basedOn w:val="Normal"/>
    <w:link w:val="FooterChar"/>
    <w:uiPriority w:val="99"/>
    <w:unhideWhenUsed/>
    <w:rsid w:val="00DF0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FD"/>
  </w:style>
  <w:style w:type="character" w:styleId="PageNumber">
    <w:name w:val="page number"/>
    <w:basedOn w:val="DefaultParagraphFont"/>
    <w:uiPriority w:val="99"/>
    <w:semiHidden/>
    <w:unhideWhenUsed/>
    <w:rsid w:val="00DF0DFD"/>
  </w:style>
  <w:style w:type="table" w:styleId="TableGrid">
    <w:name w:val="Table Grid"/>
    <w:basedOn w:val="TableNormal"/>
    <w:uiPriority w:val="39"/>
    <w:rsid w:val="000E23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2E74"/>
  </w:style>
  <w:style w:type="character" w:styleId="CommentReference">
    <w:name w:val="annotation reference"/>
    <w:basedOn w:val="DefaultParagraphFont"/>
    <w:uiPriority w:val="99"/>
    <w:semiHidden/>
    <w:unhideWhenUsed/>
    <w:rsid w:val="00ED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E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7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0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0814-022-01001-7" TargetMode="External"/><Relationship Id="rId13" Type="http://schemas.openxmlformats.org/officeDocument/2006/relationships/hyperlink" Target="https://doi.org/10.1186/1742-4755-11-s3-s7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doi.org/10.1111/jmwh.12106" TargetMode="External"/><Relationship Id="rId12" Type="http://schemas.openxmlformats.org/officeDocument/2006/relationships/hyperlink" Target="https://doi.org/10.1016/j.wombi.2020.02.02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i.org/10.1007/s10995-022-03411-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390/jcm9061701" TargetMode="External"/><Relationship Id="rId11" Type="http://schemas.openxmlformats.org/officeDocument/2006/relationships/hyperlink" Target="https://doi.org/10.1002/hpja.6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36/bmjopen-2022-065055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doi.org/10.1177/089011711877980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071/py21026" TargetMode="External"/><Relationship Id="rId14" Type="http://schemas.openxmlformats.org/officeDocument/2006/relationships/hyperlink" Target="https://doi.org/10.1016/j.midw.2022.103274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219D3-FCE4-4DAA-A121-60D0E2510303}"/>
</file>

<file path=customXml/itemProps2.xml><?xml version="1.0" encoding="utf-8"?>
<ds:datastoreItem xmlns:ds="http://schemas.openxmlformats.org/officeDocument/2006/customXml" ds:itemID="{67D171AA-059A-4AD4-9210-115F50D7647B}"/>
</file>

<file path=customXml/itemProps3.xml><?xml version="1.0" encoding="utf-8"?>
<ds:datastoreItem xmlns:ds="http://schemas.openxmlformats.org/officeDocument/2006/customXml" ds:itemID="{7809D95F-6280-443D-A963-F03B55353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evidence (Midwifery) 11304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evidence (Midwifery) 11304</dc:title>
  <dc:subject>Astract</dc:subject>
  <dc:creator>Emily.Arton</dc:creator>
  <cp:keywords/>
  <dc:description/>
  <cp:lastModifiedBy>Marjorie.Atchan</cp:lastModifiedBy>
  <cp:revision>3</cp:revision>
  <dcterms:created xsi:type="dcterms:W3CDTF">2023-09-16T23:57:00Z</dcterms:created>
  <dcterms:modified xsi:type="dcterms:W3CDTF">2023-09-22T04:53:00Z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2023-08-15T07:59:56Z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07f24b34-4b5b-4c78-be5a-8ae0c5ebb6e0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