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D5297" w14:textId="5B79513B" w:rsidR="00C760E3" w:rsidRPr="00C777B1" w:rsidRDefault="009C6D89" w:rsidP="00C777B1">
      <w:pPr>
        <w:pStyle w:val="s4"/>
        <w:spacing w:before="0" w:beforeAutospacing="0" w:after="0" w:afterAutospacing="0" w:line="360" w:lineRule="auto"/>
        <w:rPr>
          <w:rStyle w:val="s3"/>
          <w:rFonts w:ascii="Calibri" w:hAnsi="Calibri"/>
          <w:b/>
          <w:bCs/>
          <w:color w:val="000000"/>
          <w:sz w:val="22"/>
          <w:szCs w:val="22"/>
        </w:rPr>
      </w:pPr>
      <w:r w:rsidRPr="00C777B1">
        <w:rPr>
          <w:rStyle w:val="s3"/>
          <w:rFonts w:ascii="Calibri" w:hAnsi="Calibri"/>
          <w:b/>
          <w:bCs/>
          <w:color w:val="000000"/>
          <w:sz w:val="22"/>
          <w:szCs w:val="22"/>
        </w:rPr>
        <w:t>Bonnie Jones u3230473</w:t>
      </w:r>
    </w:p>
    <w:p w14:paraId="113C7127" w14:textId="2D0A3DB0" w:rsidR="002E7E4D" w:rsidRPr="00C777B1" w:rsidRDefault="002E7E4D" w:rsidP="00C777B1">
      <w:pPr>
        <w:pStyle w:val="s4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 w:rsidRPr="00C777B1">
        <w:rPr>
          <w:rStyle w:val="s3"/>
          <w:rFonts w:ascii="Calibri" w:hAnsi="Calibri"/>
          <w:b/>
          <w:bCs/>
          <w:color w:val="000000"/>
          <w:sz w:val="22"/>
          <w:szCs w:val="22"/>
        </w:rPr>
        <w:t>Professional Indemnity Insurance for Private Midwives Within the ACT: Pilot Program</w:t>
      </w:r>
    </w:p>
    <w:p w14:paraId="56CDAAC7" w14:textId="77777777" w:rsidR="002E7E4D" w:rsidRPr="00C777B1" w:rsidRDefault="002E7E4D" w:rsidP="00C777B1">
      <w:pPr>
        <w:pStyle w:val="s4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 w:rsidRPr="00C777B1">
        <w:rPr>
          <w:rStyle w:val="s3"/>
          <w:rFonts w:ascii="Calibri" w:hAnsi="Calibri"/>
          <w:b/>
          <w:bCs/>
          <w:color w:val="000000"/>
          <w:sz w:val="22"/>
          <w:szCs w:val="22"/>
        </w:rPr>
        <w:t>Poster Presentation</w:t>
      </w:r>
    </w:p>
    <w:p w14:paraId="2B1D6FD2" w14:textId="77777777" w:rsidR="002E7E4D" w:rsidRPr="00C777B1" w:rsidRDefault="002E7E4D" w:rsidP="00C777B1">
      <w:pPr>
        <w:pStyle w:val="s4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 w:rsidRPr="00C777B1">
        <w:rPr>
          <w:rFonts w:ascii="Calibri" w:hAnsi="Calibri"/>
          <w:color w:val="000000"/>
          <w:sz w:val="22"/>
          <w:szCs w:val="22"/>
        </w:rPr>
        <w:t> </w:t>
      </w:r>
    </w:p>
    <w:p w14:paraId="23578D27" w14:textId="17A2CF91" w:rsidR="002E7E4D" w:rsidRPr="00C777B1" w:rsidRDefault="002E7E4D" w:rsidP="00C777B1">
      <w:pPr>
        <w:pStyle w:val="s2"/>
        <w:spacing w:before="0" w:beforeAutospacing="0" w:after="0" w:afterAutospacing="0" w:line="360" w:lineRule="auto"/>
        <w:ind w:firstLine="720"/>
        <w:rPr>
          <w:rFonts w:ascii="Calibri" w:hAnsi="Calibri"/>
          <w:color w:val="000000"/>
          <w:sz w:val="22"/>
          <w:szCs w:val="22"/>
        </w:rPr>
      </w:pPr>
      <w:r w:rsidRPr="00C777B1">
        <w:rPr>
          <w:rFonts w:ascii="Calibri" w:hAnsi="Calibri"/>
          <w:color w:val="000000"/>
          <w:sz w:val="22"/>
          <w:szCs w:val="22"/>
        </w:rPr>
        <w:t>In Australia, privately practicing midwives are at constant risk of litigation as there is no insurance product that covers them for intrapartum care at home. Research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indicates that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midwives without access to indemnity insurance are more likely to increase their use of defensive practices.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When facing litigation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midwives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are more likely to report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a decrease in self-confidence,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proofErr w:type="gramStart"/>
      <w:r w:rsidRPr="00C777B1">
        <w:rPr>
          <w:rFonts w:ascii="Calibri" w:hAnsi="Calibri"/>
          <w:color w:val="000000"/>
          <w:sz w:val="22"/>
          <w:szCs w:val="22"/>
        </w:rPr>
        <w:t>self-worth</w:t>
      </w:r>
      <w:proofErr w:type="gramEnd"/>
      <w:r w:rsidRPr="00C777B1">
        <w:rPr>
          <w:rFonts w:ascii="Calibri" w:hAnsi="Calibri"/>
          <w:color w:val="000000"/>
          <w:sz w:val="22"/>
          <w:szCs w:val="22"/>
        </w:rPr>
        <w:t xml:space="preserve"> and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experience ill health. These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outcomes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decrease the number of practicing private midwives in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the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workforce and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negatively impact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the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quality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of midwifery care that childbearing women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receive.</w:t>
      </w:r>
      <w:r w:rsidR="00C36447">
        <w:rPr>
          <w:rFonts w:ascii="Calibri" w:hAnsi="Calibri"/>
          <w:color w:val="000000"/>
          <w:sz w:val="22"/>
          <w:szCs w:val="22"/>
        </w:rPr>
        <w:t xml:space="preserve"> </w:t>
      </w:r>
      <w:r w:rsidRPr="00C777B1">
        <w:rPr>
          <w:rFonts w:ascii="Calibri" w:hAnsi="Calibri"/>
          <w:color w:val="000000"/>
          <w:sz w:val="22"/>
          <w:szCs w:val="22"/>
        </w:rPr>
        <w:t>Research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has shown that the typical home birth in Australia costs $4802.00 compared to $5463.00 for the woman to receive the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same clinical care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within a hospital setting.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</w:p>
    <w:p w14:paraId="4B2933C5" w14:textId="39F0F778" w:rsidR="002E7E4D" w:rsidRDefault="002E7E4D" w:rsidP="00C777B1">
      <w:pPr>
        <w:pStyle w:val="s2"/>
        <w:spacing w:before="0" w:beforeAutospacing="0" w:after="0" w:afterAutospacing="0" w:line="360" w:lineRule="auto"/>
        <w:ind w:firstLine="720"/>
        <w:rPr>
          <w:rFonts w:ascii="-webkit-standard" w:hAnsi="-webkit-standard"/>
          <w:color w:val="000000"/>
          <w:sz w:val="27"/>
          <w:szCs w:val="27"/>
        </w:rPr>
      </w:pPr>
      <w:r w:rsidRPr="00C777B1">
        <w:rPr>
          <w:rFonts w:ascii="Calibri" w:hAnsi="Calibri"/>
          <w:color w:val="000000"/>
          <w:sz w:val="22"/>
          <w:szCs w:val="22"/>
        </w:rPr>
        <w:t> The purpose of this project is to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increase the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support for privately practicing midwives in the ACT. It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is proposed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that a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three-year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pilot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program be implemented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which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includes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an insurance product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for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intrapartum care provision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for appropriately endorsed midwives. To evaluate the effectiveness of the program,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maternal and neonatal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outcome measures,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a cost-benefit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proofErr w:type="gramStart"/>
      <w:r w:rsidRPr="00C777B1">
        <w:rPr>
          <w:rFonts w:ascii="Calibri" w:hAnsi="Calibri"/>
          <w:color w:val="000000"/>
          <w:sz w:val="22"/>
          <w:szCs w:val="22"/>
        </w:rPr>
        <w:t>analysis</w:t>
      </w:r>
      <w:proofErr w:type="gramEnd"/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and satisfaction survey will be conducted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at two time points,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18 months and 3 years. If this program proves to be effective,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it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could be expanded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Australia wide.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Private midwives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will be encouraged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to practice,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knowing they are not in financial danger if they were to be involved in litigation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and</w:t>
      </w:r>
      <w:r w:rsidR="00681D47">
        <w:rPr>
          <w:rFonts w:ascii="Calibri" w:hAnsi="Calibri"/>
          <w:color w:val="000000"/>
          <w:sz w:val="22"/>
          <w:szCs w:val="22"/>
        </w:rPr>
        <w:t xml:space="preserve"> this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increase</w:t>
      </w:r>
      <w:r w:rsidR="00681D47">
        <w:rPr>
          <w:rFonts w:ascii="Calibri" w:hAnsi="Calibri"/>
          <w:color w:val="000000"/>
          <w:sz w:val="22"/>
          <w:szCs w:val="22"/>
        </w:rPr>
        <w:t>s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proofErr w:type="spellStart"/>
      <w:r w:rsidRPr="00C777B1">
        <w:rPr>
          <w:rFonts w:ascii="Calibri" w:hAnsi="Calibri"/>
          <w:color w:val="000000"/>
          <w:sz w:val="22"/>
          <w:szCs w:val="22"/>
        </w:rPr>
        <w:t>womens</w:t>
      </w:r>
      <w:proofErr w:type="spellEnd"/>
      <w:r w:rsidRPr="00C777B1">
        <w:rPr>
          <w:rFonts w:ascii="Calibri" w:hAnsi="Calibri"/>
          <w:color w:val="000000"/>
          <w:sz w:val="22"/>
          <w:szCs w:val="22"/>
        </w:rPr>
        <w:t>’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C777B1">
        <w:rPr>
          <w:rFonts w:ascii="Calibri" w:hAnsi="Calibri"/>
          <w:color w:val="000000"/>
          <w:sz w:val="22"/>
          <w:szCs w:val="22"/>
        </w:rPr>
        <w:t>options for care.</w:t>
      </w:r>
      <w:r w:rsidRPr="00C777B1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</w:p>
    <w:p w14:paraId="06B3FC70" w14:textId="77777777" w:rsidR="002E7E4D" w:rsidRDefault="002E7E4D">
      <w:pPr>
        <w:pStyle w:val="s2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28676238" w14:textId="77777777" w:rsidR="002E7E4D" w:rsidRDefault="002E7E4D"/>
    <w:p w14:paraId="375D8057" w14:textId="77777777" w:rsidR="00E64AC2" w:rsidRDefault="00E64AC2"/>
    <w:p w14:paraId="4777C83F" w14:textId="77777777" w:rsidR="00E64AC2" w:rsidRDefault="00E64AC2"/>
    <w:p w14:paraId="04FD1ABB" w14:textId="77777777" w:rsidR="00E64AC2" w:rsidRDefault="00E64AC2"/>
    <w:p w14:paraId="2EBF8A0C" w14:textId="77777777" w:rsidR="00E64AC2" w:rsidRDefault="00E64AC2"/>
    <w:p w14:paraId="2B174ED4" w14:textId="77777777" w:rsidR="00E64AC2" w:rsidRDefault="00E64AC2"/>
    <w:p w14:paraId="5227305B" w14:textId="77777777" w:rsidR="00E64AC2" w:rsidRDefault="00E64AC2"/>
    <w:p w14:paraId="22457B66" w14:textId="77777777" w:rsidR="00E64AC2" w:rsidRDefault="00E64AC2"/>
    <w:p w14:paraId="19CD5B81" w14:textId="77777777" w:rsidR="00E64AC2" w:rsidRDefault="00E64AC2"/>
    <w:p w14:paraId="7E1E0AD2" w14:textId="77777777" w:rsidR="00E64AC2" w:rsidRDefault="00E64AC2"/>
    <w:p w14:paraId="3C73EC81" w14:textId="77777777" w:rsidR="00E64AC2" w:rsidRDefault="00E64AC2"/>
    <w:p w14:paraId="5CC1AF00" w14:textId="77777777" w:rsidR="00E64AC2" w:rsidRDefault="00E64AC2"/>
    <w:p w14:paraId="3DC5BE13" w14:textId="77777777" w:rsidR="00E64AC2" w:rsidRDefault="00E64AC2"/>
    <w:p w14:paraId="03DF820D" w14:textId="77777777" w:rsidR="00E64AC2" w:rsidRDefault="00E64AC2"/>
    <w:p w14:paraId="2A19D854" w14:textId="77777777" w:rsidR="00E64AC2" w:rsidRDefault="00E64AC2"/>
    <w:p w14:paraId="7FFAD36F" w14:textId="77777777" w:rsidR="00E64AC2" w:rsidRDefault="00E64AC2"/>
    <w:p w14:paraId="2BDED3E2" w14:textId="77777777" w:rsidR="00E64AC2" w:rsidRDefault="00E64AC2"/>
    <w:p w14:paraId="0E9D90AF" w14:textId="77777777" w:rsidR="007C7677" w:rsidRDefault="007C7677">
      <w:pPr>
        <w:rPr>
          <w:rFonts w:cs="Arial"/>
          <w:b/>
          <w:bCs/>
          <w:color w:val="000000"/>
          <w:kern w:val="0"/>
          <w14:ligatures w14:val="none"/>
        </w:rPr>
      </w:pPr>
      <w:r>
        <w:rPr>
          <w:rFonts w:cs="Arial"/>
          <w:b/>
          <w:bCs/>
          <w:color w:val="000000"/>
          <w:kern w:val="0"/>
          <w14:ligatures w14:val="none"/>
        </w:rPr>
        <w:br w:type="page"/>
      </w:r>
    </w:p>
    <w:p w14:paraId="0930C1BF" w14:textId="6B047DEA" w:rsidR="00E64AC2" w:rsidRPr="00E64AC2" w:rsidRDefault="00E64AC2" w:rsidP="00E64AC2">
      <w:pPr>
        <w:divId w:val="1268002112"/>
        <w:rPr>
          <w:rFonts w:cs="Times New Roman"/>
          <w:b/>
          <w:bCs/>
          <w:kern w:val="0"/>
          <w14:ligatures w14:val="none"/>
        </w:rPr>
      </w:pPr>
      <w:r w:rsidRPr="00E64AC2">
        <w:rPr>
          <w:rFonts w:cs="Arial"/>
          <w:b/>
          <w:bCs/>
          <w:color w:val="000000"/>
          <w:kern w:val="0"/>
          <w14:ligatures w14:val="none"/>
        </w:rPr>
        <w:lastRenderedPageBreak/>
        <w:t>Reference</w:t>
      </w:r>
      <w:r w:rsidR="007C7677">
        <w:rPr>
          <w:rFonts w:cs="Arial"/>
          <w:b/>
          <w:bCs/>
          <w:color w:val="000000"/>
          <w:kern w:val="0"/>
          <w14:ligatures w14:val="none"/>
        </w:rPr>
        <w:t>s</w:t>
      </w:r>
      <w:r w:rsidR="003862F5">
        <w:rPr>
          <w:rFonts w:cs="Arial"/>
          <w:b/>
          <w:bCs/>
          <w:color w:val="000000"/>
          <w:kern w:val="0"/>
          <w14:ligatures w14:val="none"/>
        </w:rPr>
        <w:t>:</w:t>
      </w:r>
      <w:r w:rsidRPr="00E64AC2">
        <w:rPr>
          <w:rFonts w:cs="Arial"/>
          <w:b/>
          <w:bCs/>
          <w:color w:val="000000"/>
          <w:kern w:val="0"/>
          <w14:ligatures w14:val="none"/>
        </w:rPr>
        <w:t> </w:t>
      </w:r>
      <w:r w:rsidR="0076230C">
        <w:rPr>
          <w:rFonts w:cs="Times New Roman"/>
          <w:b/>
          <w:bCs/>
          <w:kern w:val="0"/>
          <w14:ligatures w14:val="none"/>
        </w:rPr>
        <w:t xml:space="preserve"> </w:t>
      </w:r>
    </w:p>
    <w:p w14:paraId="1D32BEC1" w14:textId="53A4BD44" w:rsidR="00E64AC2" w:rsidRPr="00E64AC2" w:rsidRDefault="00E64AC2" w:rsidP="009A3657">
      <w:pPr>
        <w:ind w:left="357" w:hanging="357"/>
        <w:divId w:val="1268002112"/>
        <w:rPr>
          <w:rFonts w:cs="Times New Roman"/>
          <w:kern w:val="0"/>
          <w14:ligatures w14:val="none"/>
        </w:rPr>
      </w:pPr>
      <w:r w:rsidRPr="00E64AC2">
        <w:rPr>
          <w:rFonts w:cs="Arial"/>
          <w:color w:val="000000"/>
          <w:kern w:val="0"/>
          <w14:ligatures w14:val="none"/>
        </w:rPr>
        <w:t xml:space="preserve">Alexander, C., </w:t>
      </w:r>
      <w:proofErr w:type="spellStart"/>
      <w:r w:rsidRPr="00E64AC2">
        <w:rPr>
          <w:rFonts w:cs="Arial"/>
          <w:color w:val="000000"/>
          <w:kern w:val="0"/>
          <w14:ligatures w14:val="none"/>
        </w:rPr>
        <w:t>Bogossian</w:t>
      </w:r>
      <w:proofErr w:type="spellEnd"/>
      <w:r w:rsidRPr="00E64AC2">
        <w:rPr>
          <w:rFonts w:cs="Arial"/>
          <w:color w:val="000000"/>
          <w:kern w:val="0"/>
          <w14:ligatures w14:val="none"/>
        </w:rPr>
        <w:t>, F., &amp; New, K. (2021). Australian midwives and clinical</w:t>
      </w:r>
      <w:r w:rsidR="00053AA5">
        <w:rPr>
          <w:rFonts w:cs="Arial"/>
          <w:color w:val="000000"/>
          <w:kern w:val="0"/>
          <w14:ligatures w14:val="none"/>
        </w:rPr>
        <w:t xml:space="preserve"> </w:t>
      </w:r>
      <w:r w:rsidRPr="00E64AC2">
        <w:rPr>
          <w:rFonts w:cs="Arial"/>
          <w:color w:val="000000"/>
          <w:kern w:val="0"/>
          <w14:ligatures w14:val="none"/>
        </w:rPr>
        <w:t xml:space="preserve">investigation: Exploration of the personal and professional impact. </w:t>
      </w:r>
      <w:r w:rsidRPr="00AC3DAF">
        <w:rPr>
          <w:rFonts w:cs="Arial"/>
          <w:i/>
          <w:iCs/>
          <w:color w:val="000000"/>
          <w:kern w:val="0"/>
          <w14:ligatures w14:val="none"/>
        </w:rPr>
        <w:t>Women</w:t>
      </w:r>
      <w:r w:rsidR="00053AA5" w:rsidRPr="00AC3DAF">
        <w:rPr>
          <w:rFonts w:cs="Arial"/>
          <w:i/>
          <w:iCs/>
          <w:color w:val="000000"/>
          <w:kern w:val="0"/>
          <w14:ligatures w14:val="none"/>
        </w:rPr>
        <w:t xml:space="preserve"> </w:t>
      </w:r>
      <w:r w:rsidRPr="00AC3DAF">
        <w:rPr>
          <w:rFonts w:cs="Arial"/>
          <w:i/>
          <w:iCs/>
          <w:color w:val="000000"/>
          <w:kern w:val="0"/>
          <w14:ligatures w14:val="none"/>
        </w:rPr>
        <w:t>and Birth: Journal of the Australian College of Midwives, 34</w:t>
      </w:r>
      <w:r w:rsidRPr="00E64AC2">
        <w:rPr>
          <w:rFonts w:cs="Arial"/>
          <w:color w:val="000000"/>
          <w:kern w:val="0"/>
          <w14:ligatures w14:val="none"/>
        </w:rPr>
        <w:t>(1), 38–47.</w:t>
      </w:r>
    </w:p>
    <w:p w14:paraId="3ECCC5F5" w14:textId="77777777" w:rsidR="00E64AC2" w:rsidRPr="00E64AC2" w:rsidRDefault="00E64AC2" w:rsidP="009A3657">
      <w:pPr>
        <w:ind w:left="357" w:hanging="357"/>
        <w:divId w:val="1268002112"/>
        <w:rPr>
          <w:rFonts w:cs="Times New Roman"/>
          <w:kern w:val="0"/>
          <w14:ligatures w14:val="none"/>
        </w:rPr>
      </w:pPr>
      <w:r w:rsidRPr="00E64AC2">
        <w:rPr>
          <w:rFonts w:cs="Arial"/>
          <w:color w:val="000000"/>
          <w:kern w:val="0"/>
          <w14:ligatures w14:val="none"/>
        </w:rPr>
        <w:t> </w:t>
      </w:r>
      <w:hyperlink r:id="rId4" w:history="1">
        <w:r w:rsidRPr="00E64AC2">
          <w:rPr>
            <w:rFonts w:cs="Arial"/>
            <w:color w:val="1155CC"/>
            <w:kern w:val="0"/>
            <w:u w:val="single"/>
            <w14:ligatures w14:val="none"/>
          </w:rPr>
          <w:t>https://doi-org.ezproxy.canberra.edu.au/10.1016/j.wombi.2020.09.002</w:t>
        </w:r>
      </w:hyperlink>
      <w:r w:rsidRPr="00E64AC2">
        <w:rPr>
          <w:rFonts w:cs="Arial"/>
          <w:color w:val="000000"/>
          <w:kern w:val="0"/>
          <w14:ligatures w14:val="none"/>
        </w:rPr>
        <w:t>.</w:t>
      </w:r>
    </w:p>
    <w:p w14:paraId="11D2AF62" w14:textId="4AD07DC2" w:rsidR="00E64AC2" w:rsidRPr="00E64AC2" w:rsidRDefault="00E64AC2" w:rsidP="009A3657">
      <w:pPr>
        <w:ind w:left="357" w:hanging="357"/>
        <w:divId w:val="1268002112"/>
        <w:rPr>
          <w:rFonts w:cs="Times New Roman"/>
          <w:kern w:val="0"/>
          <w14:ligatures w14:val="none"/>
        </w:rPr>
      </w:pPr>
      <w:r w:rsidRPr="00E64AC2">
        <w:rPr>
          <w:rFonts w:cs="Arial"/>
          <w:color w:val="000000"/>
          <w:kern w:val="0"/>
          <w14:ligatures w14:val="none"/>
        </w:rPr>
        <w:t>Callander, J., Bull, C., McInnes, R., &amp; Toohill, J. (2021). The opportunity costs of</w:t>
      </w:r>
      <w:r w:rsidR="00053AA5">
        <w:rPr>
          <w:rFonts w:cs="Arial"/>
          <w:color w:val="000000"/>
          <w:kern w:val="0"/>
          <w14:ligatures w14:val="none"/>
        </w:rPr>
        <w:t xml:space="preserve"> </w:t>
      </w:r>
      <w:r w:rsidRPr="00E64AC2">
        <w:rPr>
          <w:rFonts w:cs="Arial"/>
          <w:color w:val="000000"/>
          <w:kern w:val="0"/>
          <w14:ligatures w14:val="none"/>
        </w:rPr>
        <w:t>birth in Australia: Hospital resource savings for a post–COVID</w:t>
      </w:r>
      <w:r w:rsidRPr="00E64AC2">
        <w:rPr>
          <w:rFonts w:cs="Cambria Math"/>
          <w:color w:val="000000"/>
          <w:kern w:val="0"/>
          <w14:ligatures w14:val="none"/>
        </w:rPr>
        <w:t>‐</w:t>
      </w:r>
      <w:r w:rsidRPr="00E64AC2">
        <w:rPr>
          <w:rFonts w:cs="Arial"/>
          <w:color w:val="000000"/>
          <w:kern w:val="0"/>
          <w14:ligatures w14:val="none"/>
        </w:rPr>
        <w:t xml:space="preserve">19 era. </w:t>
      </w:r>
      <w:r w:rsidRPr="00AC3DAF">
        <w:rPr>
          <w:rFonts w:cs="Arial"/>
          <w:i/>
          <w:iCs/>
          <w:color w:val="000000"/>
          <w:kern w:val="0"/>
          <w14:ligatures w14:val="none"/>
        </w:rPr>
        <w:t>Birth:</w:t>
      </w:r>
      <w:r w:rsidR="00053AA5" w:rsidRPr="00AC3DAF">
        <w:rPr>
          <w:rFonts w:cs="Arial"/>
          <w:i/>
          <w:iCs/>
          <w:color w:val="000000"/>
          <w:kern w:val="0"/>
          <w14:ligatures w14:val="none"/>
        </w:rPr>
        <w:t xml:space="preserve"> </w:t>
      </w:r>
      <w:r w:rsidRPr="00AC3DAF">
        <w:rPr>
          <w:rFonts w:cs="Arial"/>
          <w:i/>
          <w:iCs/>
          <w:color w:val="000000"/>
          <w:kern w:val="0"/>
          <w14:ligatures w14:val="none"/>
        </w:rPr>
        <w:t> Issues in PerinatalCare, 48</w:t>
      </w:r>
      <w:r w:rsidRPr="00E64AC2">
        <w:rPr>
          <w:rFonts w:cs="Arial"/>
          <w:color w:val="000000"/>
          <w:kern w:val="0"/>
          <w14:ligatures w14:val="none"/>
        </w:rPr>
        <w:t>(2), 274–282.</w:t>
      </w:r>
    </w:p>
    <w:p w14:paraId="5A9F0D61" w14:textId="7655C957" w:rsidR="00E64AC2" w:rsidRPr="00881871" w:rsidRDefault="00E64AC2" w:rsidP="009A3657">
      <w:pPr>
        <w:ind w:left="357" w:hanging="357"/>
        <w:divId w:val="1268002112"/>
        <w:rPr>
          <w:rFonts w:cs="Times New Roman"/>
          <w:color w:val="1155CC"/>
          <w:kern w:val="0"/>
          <w14:ligatures w14:val="none"/>
        </w:rPr>
      </w:pPr>
      <w:r w:rsidRPr="00E64AC2">
        <w:rPr>
          <w:rFonts w:cs="Arial"/>
          <w:color w:val="000000"/>
          <w:kern w:val="0"/>
          <w14:ligatures w14:val="none"/>
        </w:rPr>
        <w:t> </w:t>
      </w:r>
      <w:hyperlink r:id="rId5" w:history="1">
        <w:r w:rsidR="00AC3DAF" w:rsidRPr="00881871">
          <w:rPr>
            <w:rStyle w:val="Hyperlink"/>
            <w:rFonts w:cs="Arial"/>
            <w:color w:val="1155CC"/>
            <w:kern w:val="0"/>
            <w14:ligatures w14:val="none"/>
          </w:rPr>
          <w:t>https://doi-org.ezproxy.canberra.edu.au/10.1111/birt.12538</w:t>
        </w:r>
      </w:hyperlink>
      <w:r w:rsidRPr="00881871">
        <w:rPr>
          <w:rFonts w:cs="Arial"/>
          <w:color w:val="1155CC"/>
          <w:kern w:val="0"/>
          <w14:ligatures w14:val="none"/>
        </w:rPr>
        <w:t>.</w:t>
      </w:r>
      <w:r w:rsidR="00AC3DAF" w:rsidRPr="00881871">
        <w:rPr>
          <w:rFonts w:cs="Arial"/>
          <w:color w:val="1155CC"/>
          <w:kern w:val="0"/>
          <w14:ligatures w14:val="none"/>
        </w:rPr>
        <w:t xml:space="preserve"> </w:t>
      </w:r>
    </w:p>
    <w:p w14:paraId="490FBD6C" w14:textId="419547C1" w:rsidR="00E64AC2" w:rsidRPr="00E64AC2" w:rsidRDefault="00E64AC2" w:rsidP="009A3657">
      <w:pPr>
        <w:ind w:left="357" w:hanging="357"/>
        <w:divId w:val="1268002112"/>
        <w:rPr>
          <w:rFonts w:cs="Times New Roman"/>
          <w:kern w:val="0"/>
          <w14:ligatures w14:val="none"/>
        </w:rPr>
      </w:pPr>
      <w:r w:rsidRPr="00E64AC2">
        <w:rPr>
          <w:rFonts w:cs="Arial"/>
          <w:color w:val="000000"/>
          <w:kern w:val="0"/>
          <w14:ligatures w14:val="none"/>
        </w:rPr>
        <w:t>Hood, L., Fenwick, J., &amp; Butt, J. (2010). A story of scrutiny and fear: Australian</w:t>
      </w:r>
      <w:r w:rsidR="00053AA5">
        <w:rPr>
          <w:rFonts w:cs="Arial"/>
          <w:color w:val="000000"/>
          <w:kern w:val="0"/>
          <w14:ligatures w14:val="none"/>
        </w:rPr>
        <w:t xml:space="preserve"> </w:t>
      </w:r>
      <w:r w:rsidRPr="00E64AC2">
        <w:rPr>
          <w:rFonts w:cs="Arial"/>
          <w:color w:val="000000"/>
          <w:kern w:val="0"/>
          <w14:ligatures w14:val="none"/>
        </w:rPr>
        <w:t>midwives’ experiences of an external review of obstetric services, being</w:t>
      </w:r>
      <w:r w:rsidR="00053AA5">
        <w:rPr>
          <w:rFonts w:cs="Arial"/>
          <w:color w:val="000000"/>
          <w:kern w:val="0"/>
          <w14:ligatures w14:val="none"/>
        </w:rPr>
        <w:t xml:space="preserve"> </w:t>
      </w:r>
      <w:r w:rsidRPr="00E64AC2">
        <w:rPr>
          <w:rFonts w:cs="Arial"/>
          <w:color w:val="000000"/>
          <w:kern w:val="0"/>
          <w14:ligatures w14:val="none"/>
        </w:rPr>
        <w:t xml:space="preserve">involved with litigation and the impact on clinical practice. </w:t>
      </w:r>
      <w:r w:rsidRPr="00AC3DAF">
        <w:rPr>
          <w:rFonts w:cs="Arial"/>
          <w:i/>
          <w:iCs/>
          <w:color w:val="000000"/>
          <w:kern w:val="0"/>
          <w14:ligatures w14:val="none"/>
        </w:rPr>
        <w:t>Midwifery, 26</w:t>
      </w:r>
      <w:r w:rsidRPr="00E64AC2">
        <w:rPr>
          <w:rFonts w:cs="Arial"/>
          <w:color w:val="000000"/>
          <w:kern w:val="0"/>
          <w14:ligatures w14:val="none"/>
        </w:rPr>
        <w:t>(3),</w:t>
      </w:r>
      <w:r w:rsidR="00053AA5">
        <w:rPr>
          <w:rFonts w:cs="Arial"/>
          <w:color w:val="000000"/>
          <w:kern w:val="0"/>
          <w14:ligatures w14:val="none"/>
        </w:rPr>
        <w:t xml:space="preserve"> </w:t>
      </w:r>
      <w:r w:rsidRPr="00E64AC2">
        <w:rPr>
          <w:rFonts w:cs="Arial"/>
          <w:color w:val="000000"/>
          <w:kern w:val="0"/>
          <w14:ligatures w14:val="none"/>
        </w:rPr>
        <w:t>268–285.</w:t>
      </w:r>
    </w:p>
    <w:p w14:paraId="44F59C22" w14:textId="16DD113E" w:rsidR="00E64AC2" w:rsidRPr="00E64AC2" w:rsidRDefault="00E64AC2" w:rsidP="009A3657">
      <w:pPr>
        <w:ind w:left="357" w:hanging="357"/>
        <w:divId w:val="1268002112"/>
        <w:rPr>
          <w:rFonts w:cs="Times New Roman"/>
          <w:kern w:val="0"/>
          <w14:ligatures w14:val="none"/>
        </w:rPr>
      </w:pPr>
      <w:r w:rsidRPr="00E64AC2">
        <w:rPr>
          <w:rFonts w:cs="Arial"/>
          <w:color w:val="000000"/>
          <w:kern w:val="0"/>
          <w14:ligatures w14:val="none"/>
        </w:rPr>
        <w:t> </w:t>
      </w:r>
      <w:hyperlink r:id="rId6" w:history="1">
        <w:r w:rsidRPr="00E64AC2">
          <w:rPr>
            <w:rFonts w:cs="Arial"/>
            <w:color w:val="1155CC"/>
            <w:kern w:val="0"/>
            <w:u w:val="single"/>
            <w14:ligatures w14:val="none"/>
          </w:rPr>
          <w:t>https://doi-org.ezproxy.canberra.edu.au/10.1016/j.midw.2008.07.008</w:t>
        </w:r>
      </w:hyperlink>
      <w:r w:rsidRPr="00E64AC2">
        <w:rPr>
          <w:rFonts w:cs="Arial"/>
          <w:color w:val="000000"/>
          <w:kern w:val="0"/>
          <w14:ligatures w14:val="none"/>
        </w:rPr>
        <w:t>.</w:t>
      </w:r>
    </w:p>
    <w:p w14:paraId="5BB67A30" w14:textId="4A6E1DD0" w:rsidR="00E64AC2" w:rsidRPr="00E64AC2" w:rsidRDefault="00E64AC2" w:rsidP="009A3657">
      <w:pPr>
        <w:ind w:left="357" w:hanging="357"/>
        <w:divId w:val="1268002112"/>
        <w:rPr>
          <w:rFonts w:cs="Times New Roman"/>
          <w:kern w:val="0"/>
          <w14:ligatures w14:val="none"/>
        </w:rPr>
      </w:pPr>
      <w:r w:rsidRPr="00E64AC2">
        <w:rPr>
          <w:rFonts w:cs="Arial"/>
          <w:color w:val="000000"/>
          <w:kern w:val="0"/>
          <w14:ligatures w14:val="none"/>
        </w:rPr>
        <w:t xml:space="preserve">Moghadam, Z. B., </w:t>
      </w:r>
      <w:proofErr w:type="spellStart"/>
      <w:r w:rsidRPr="00E64AC2">
        <w:rPr>
          <w:rFonts w:cs="Arial"/>
          <w:color w:val="000000"/>
          <w:kern w:val="0"/>
          <w14:ligatures w14:val="none"/>
        </w:rPr>
        <w:t>Nayeri</w:t>
      </w:r>
      <w:proofErr w:type="spellEnd"/>
      <w:r w:rsidRPr="00E64AC2">
        <w:rPr>
          <w:rFonts w:cs="Arial"/>
          <w:color w:val="000000"/>
          <w:kern w:val="0"/>
          <w14:ligatures w14:val="none"/>
        </w:rPr>
        <w:t xml:space="preserve">, N. D., </w:t>
      </w:r>
      <w:proofErr w:type="spellStart"/>
      <w:r w:rsidRPr="00E64AC2">
        <w:rPr>
          <w:rFonts w:cs="Arial"/>
          <w:color w:val="000000"/>
          <w:kern w:val="0"/>
          <w14:ligatures w14:val="none"/>
        </w:rPr>
        <w:t>Bandboni</w:t>
      </w:r>
      <w:proofErr w:type="spellEnd"/>
      <w:r w:rsidRPr="00E64AC2">
        <w:rPr>
          <w:rFonts w:cs="Arial"/>
          <w:color w:val="000000"/>
          <w:kern w:val="0"/>
          <w14:ligatures w14:val="none"/>
        </w:rPr>
        <w:t>, M. E., &amp; Peyman, A. (2016). Midwives</w:t>
      </w:r>
      <w:r w:rsidR="00053AA5">
        <w:rPr>
          <w:rFonts w:cs="Arial"/>
          <w:color w:val="000000"/>
          <w:kern w:val="0"/>
          <w14:ligatures w14:val="none"/>
        </w:rPr>
        <w:t xml:space="preserve"> </w:t>
      </w:r>
      <w:r w:rsidRPr="00E64AC2">
        <w:rPr>
          <w:rFonts w:cs="Arial"/>
          <w:color w:val="000000"/>
          <w:kern w:val="0"/>
          <w14:ligatures w14:val="none"/>
        </w:rPr>
        <w:t>trapped under the rubble of professional complaints: A qualitative study. </w:t>
      </w:r>
      <w:r w:rsidRPr="00AC3DAF">
        <w:rPr>
          <w:rFonts w:cs="Arial"/>
          <w:i/>
          <w:iCs/>
          <w:color w:val="000000"/>
          <w:kern w:val="0"/>
          <w14:ligatures w14:val="none"/>
        </w:rPr>
        <w:t>International Journal of Pharmaceutical Research &amp; Allied Sciences, 5</w:t>
      </w:r>
      <w:r w:rsidRPr="00E64AC2">
        <w:rPr>
          <w:rFonts w:cs="Arial"/>
          <w:color w:val="000000"/>
          <w:kern w:val="0"/>
          <w14:ligatures w14:val="none"/>
        </w:rPr>
        <w:t>(3), 397–406. </w:t>
      </w:r>
    </w:p>
    <w:p w14:paraId="5174F96D" w14:textId="7A1DC59B" w:rsidR="00AC3DAF" w:rsidRDefault="009A3657" w:rsidP="009A3657">
      <w:pPr>
        <w:ind w:left="357" w:hanging="357"/>
        <w:divId w:val="1268002112"/>
        <w:rPr>
          <w:rFonts w:cs="Arial"/>
          <w:color w:val="000000"/>
          <w:kern w:val="0"/>
          <w14:ligatures w14:val="none"/>
        </w:rPr>
      </w:pPr>
      <w:hyperlink w:history="1">
        <w:r w:rsidRPr="00881871">
          <w:rPr>
            <w:rStyle w:val="Hyperlink"/>
            <w:rFonts w:cs="Arial"/>
            <w:color w:val="1155CC"/>
            <w:kern w:val="0"/>
            <w14:ligatures w14:val="none"/>
          </w:rPr>
          <w:t>https://web-s-ebscohost com.ezproxy.canberra.edu.au/ehost/detail/detail?vid=6&amp;sid=65404cf1-bdb3-45c8-bd6c-c7b3a34f7af5%40redis&amp;bdata=#AN=120466919&amp;db=asn</w:t>
        </w:r>
      </w:hyperlink>
      <w:r w:rsidR="00E64AC2" w:rsidRPr="00E64AC2">
        <w:rPr>
          <w:rFonts w:cs="Arial"/>
          <w:color w:val="000000"/>
          <w:kern w:val="0"/>
          <w14:ligatures w14:val="none"/>
        </w:rPr>
        <w:t>.</w:t>
      </w:r>
    </w:p>
    <w:p w14:paraId="229AC1EF" w14:textId="6114088E" w:rsidR="00E64AC2" w:rsidRPr="00E64AC2" w:rsidRDefault="00E64AC2" w:rsidP="009A3657">
      <w:pPr>
        <w:ind w:left="357" w:hanging="357"/>
        <w:divId w:val="1268002112"/>
        <w:rPr>
          <w:rFonts w:cs="Times New Roman"/>
          <w:kern w:val="0"/>
          <w14:ligatures w14:val="none"/>
        </w:rPr>
      </w:pPr>
      <w:proofErr w:type="spellStart"/>
      <w:r w:rsidRPr="00E64AC2">
        <w:rPr>
          <w:rFonts w:cs="Arial"/>
          <w:color w:val="000000"/>
          <w:kern w:val="0"/>
          <w14:ligatures w14:val="none"/>
        </w:rPr>
        <w:t>OBoyle</w:t>
      </w:r>
      <w:proofErr w:type="spellEnd"/>
      <w:r w:rsidRPr="00E64AC2">
        <w:rPr>
          <w:rFonts w:cs="Arial"/>
          <w:color w:val="000000"/>
          <w:kern w:val="0"/>
          <w14:ligatures w14:val="none"/>
        </w:rPr>
        <w:t>, C. (2014). The Context and Consequences of Professional Indemnification</w:t>
      </w:r>
      <w:r w:rsidR="00AC3DAF">
        <w:rPr>
          <w:rFonts w:cs="Arial"/>
          <w:color w:val="000000"/>
          <w:kern w:val="0"/>
          <w14:ligatures w14:val="none"/>
        </w:rPr>
        <w:t xml:space="preserve"> </w:t>
      </w:r>
      <w:r w:rsidRPr="00E64AC2">
        <w:rPr>
          <w:rFonts w:cs="Arial"/>
          <w:color w:val="000000"/>
          <w:kern w:val="0"/>
          <w14:ligatures w14:val="none"/>
        </w:rPr>
        <w:t xml:space="preserve">of Home Birth Midwifery in Ireland. </w:t>
      </w:r>
      <w:r w:rsidRPr="009A3657">
        <w:rPr>
          <w:rFonts w:cs="Arial"/>
          <w:i/>
          <w:iCs/>
          <w:color w:val="000000"/>
          <w:kern w:val="0"/>
          <w14:ligatures w14:val="none"/>
        </w:rPr>
        <w:t>International Journal of Childbirth, 4</w:t>
      </w:r>
      <w:r w:rsidRPr="00E64AC2">
        <w:rPr>
          <w:rFonts w:cs="Arial"/>
          <w:color w:val="000000"/>
          <w:kern w:val="0"/>
          <w14:ligatures w14:val="none"/>
        </w:rPr>
        <w:t xml:space="preserve">(1), 39–54. </w:t>
      </w:r>
      <w:hyperlink r:id="rId7" w:history="1">
        <w:r w:rsidRPr="00E64AC2">
          <w:rPr>
            <w:rFonts w:cs="Arial"/>
            <w:color w:val="1155CC"/>
            <w:kern w:val="0"/>
            <w:u w:val="single"/>
            <w14:ligatures w14:val="none"/>
          </w:rPr>
          <w:t>https://doi-org.ezproxy.canberra.edu.au/10.1891/2156-5287.4.1.39</w:t>
        </w:r>
      </w:hyperlink>
      <w:r w:rsidRPr="00E64AC2">
        <w:rPr>
          <w:rFonts w:cs="Arial"/>
          <w:color w:val="000000"/>
          <w:kern w:val="0"/>
          <w14:ligatures w14:val="none"/>
        </w:rPr>
        <w:t>.</w:t>
      </w:r>
    </w:p>
    <w:p w14:paraId="33B6DD23" w14:textId="0D4393B5" w:rsidR="00E64AC2" w:rsidRPr="00E64AC2" w:rsidRDefault="00E64AC2" w:rsidP="009A3657">
      <w:pPr>
        <w:ind w:left="357" w:hanging="357"/>
        <w:divId w:val="1268002112"/>
        <w:rPr>
          <w:rFonts w:cs="Times New Roman"/>
          <w:kern w:val="0"/>
          <w14:ligatures w14:val="none"/>
        </w:rPr>
      </w:pPr>
      <w:r w:rsidRPr="00E64AC2">
        <w:rPr>
          <w:rFonts w:cs="Arial"/>
          <w:color w:val="000000"/>
          <w:kern w:val="0"/>
          <w14:ligatures w14:val="none"/>
        </w:rPr>
        <w:t xml:space="preserve">Scarf, V. L., Yu, S., Viney, R., </w:t>
      </w:r>
      <w:proofErr w:type="spellStart"/>
      <w:r w:rsidRPr="00E64AC2">
        <w:rPr>
          <w:rFonts w:cs="Arial"/>
          <w:color w:val="000000"/>
          <w:kern w:val="0"/>
          <w14:ligatures w14:val="none"/>
        </w:rPr>
        <w:t>Lavis</w:t>
      </w:r>
      <w:proofErr w:type="spellEnd"/>
      <w:r w:rsidRPr="00E64AC2">
        <w:rPr>
          <w:rFonts w:cs="Arial"/>
          <w:color w:val="000000"/>
          <w:kern w:val="0"/>
          <w14:ligatures w14:val="none"/>
        </w:rPr>
        <w:t xml:space="preserve">, L., Dahlen, H. &amp; et al. (2020). The cost of vaginal birth at home, in a birth centre or in a hospital setting in New South Wales: A micro-costing study. </w:t>
      </w:r>
      <w:r w:rsidRPr="009A3657">
        <w:rPr>
          <w:rFonts w:cs="Arial"/>
          <w:i/>
          <w:iCs/>
          <w:color w:val="000000"/>
          <w:kern w:val="0"/>
          <w14:ligatures w14:val="none"/>
        </w:rPr>
        <w:t>Women &amp; Birth</w:t>
      </w:r>
      <w:r w:rsidRPr="00E64AC2">
        <w:rPr>
          <w:rFonts w:cs="Arial"/>
          <w:color w:val="000000"/>
          <w:kern w:val="0"/>
          <w14:ligatures w14:val="none"/>
        </w:rPr>
        <w:t xml:space="preserve">, </w:t>
      </w:r>
      <w:r w:rsidRPr="009A3657">
        <w:rPr>
          <w:rFonts w:cs="Arial"/>
          <w:i/>
          <w:iCs/>
          <w:color w:val="000000"/>
          <w:kern w:val="0"/>
          <w14:ligatures w14:val="none"/>
        </w:rPr>
        <w:t>33</w:t>
      </w:r>
      <w:r w:rsidRPr="00E64AC2">
        <w:rPr>
          <w:rFonts w:cs="Arial"/>
          <w:color w:val="000000"/>
          <w:kern w:val="0"/>
          <w14:ligatures w14:val="none"/>
        </w:rPr>
        <w:t>(3), 286–293. </w:t>
      </w:r>
      <w:hyperlink r:id="rId8" w:history="1">
        <w:r w:rsidRPr="00E64AC2">
          <w:rPr>
            <w:rFonts w:cs="Arial"/>
            <w:color w:val="1155CC"/>
            <w:kern w:val="0"/>
            <w:u w:val="single"/>
            <w14:ligatures w14:val="none"/>
          </w:rPr>
          <w:t>https://doi-org.ezproxy.canberra.edu.au/10.1016/j.wombi.2019.06.00</w:t>
        </w:r>
      </w:hyperlink>
      <w:r w:rsidRPr="00E64AC2">
        <w:rPr>
          <w:rFonts w:cs="Arial"/>
          <w:color w:val="000000"/>
          <w:kern w:val="0"/>
          <w14:ligatures w14:val="none"/>
        </w:rPr>
        <w:t>.</w:t>
      </w:r>
      <w:hyperlink r:id="rId9" w:history="1">
        <w:r w:rsidRPr="00E64AC2">
          <w:rPr>
            <w:rFonts w:cs="Arial"/>
            <w:color w:val="1155CC"/>
            <w:kern w:val="0"/>
            <w:u w:val="single"/>
            <w14:ligatures w14:val="none"/>
          </w:rPr>
          <w:t>3</w:t>
        </w:r>
      </w:hyperlink>
      <w:r w:rsidRPr="00E64AC2">
        <w:rPr>
          <w:rFonts w:cs="Arial"/>
          <w:color w:val="000000"/>
          <w:kern w:val="0"/>
          <w14:ligatures w14:val="none"/>
        </w:rPr>
        <w:t>.</w:t>
      </w:r>
    </w:p>
    <w:p w14:paraId="4CF31887" w14:textId="4942918A" w:rsidR="00E64AC2" w:rsidRPr="00E64AC2" w:rsidRDefault="00E64AC2" w:rsidP="009A3657">
      <w:pPr>
        <w:ind w:left="357" w:hanging="357"/>
        <w:divId w:val="1268002112"/>
        <w:rPr>
          <w:rFonts w:cs="Times New Roman"/>
          <w:kern w:val="0"/>
          <w14:ligatures w14:val="none"/>
        </w:rPr>
      </w:pPr>
      <w:r w:rsidRPr="00E64AC2">
        <w:rPr>
          <w:rFonts w:cs="Arial"/>
          <w:color w:val="000000"/>
          <w:kern w:val="0"/>
          <w14:ligatures w14:val="none"/>
        </w:rPr>
        <w:t xml:space="preserve">Scarf, V. L., Yu, S., Viney, R., Cheah, S. L., Dahlen, H. &amp; et al. (2021). Modelling the cost of place of birth: a pathway analysis. </w:t>
      </w:r>
      <w:r w:rsidRPr="009A3657">
        <w:rPr>
          <w:rFonts w:cs="Arial"/>
          <w:i/>
          <w:iCs/>
          <w:color w:val="000000"/>
          <w:kern w:val="0"/>
          <w14:ligatures w14:val="none"/>
        </w:rPr>
        <w:t>BMC Health Services Research, 21</w:t>
      </w:r>
      <w:r w:rsidRPr="00E64AC2">
        <w:rPr>
          <w:rFonts w:cs="Arial"/>
          <w:color w:val="000000"/>
          <w:kern w:val="0"/>
          <w14:ligatures w14:val="none"/>
        </w:rPr>
        <w:t>(1), 1–11.</w:t>
      </w:r>
    </w:p>
    <w:p w14:paraId="7189127A" w14:textId="73386F98" w:rsidR="00AC3DAF" w:rsidRPr="00881871" w:rsidRDefault="00AC3DAF" w:rsidP="009A3657">
      <w:pPr>
        <w:ind w:left="357" w:hanging="357"/>
        <w:divId w:val="1268002112"/>
        <w:rPr>
          <w:rFonts w:cs="Arial"/>
          <w:color w:val="1155CC"/>
          <w:kern w:val="0"/>
          <w14:ligatures w14:val="none"/>
        </w:rPr>
      </w:pPr>
      <w:hyperlink r:id="rId10" w:history="1">
        <w:r w:rsidRPr="00881871">
          <w:rPr>
            <w:rStyle w:val="Hyperlink"/>
            <w:rFonts w:cs="Arial"/>
            <w:color w:val="1155CC"/>
            <w:kern w:val="0"/>
            <w14:ligatures w14:val="none"/>
          </w:rPr>
          <w:t>https://doi-org.ezproxy.canberra.edu.au/10.1186/s12913-021-06810-9</w:t>
        </w:r>
      </w:hyperlink>
      <w:r w:rsidR="00E64AC2" w:rsidRPr="00881871">
        <w:rPr>
          <w:rFonts w:cs="Arial"/>
          <w:color w:val="1155CC"/>
          <w:kern w:val="0"/>
          <w14:ligatures w14:val="none"/>
        </w:rPr>
        <w:t>.</w:t>
      </w:r>
    </w:p>
    <w:p w14:paraId="5137A385" w14:textId="53B00FD8" w:rsidR="00E64AC2" w:rsidRPr="00E64AC2" w:rsidRDefault="00E64AC2" w:rsidP="009A3657">
      <w:pPr>
        <w:ind w:left="357" w:hanging="357"/>
        <w:divId w:val="1268002112"/>
        <w:rPr>
          <w:rFonts w:cs="Times New Roman"/>
          <w:kern w:val="0"/>
          <w14:ligatures w14:val="none"/>
        </w:rPr>
      </w:pPr>
      <w:r w:rsidRPr="00E64AC2">
        <w:rPr>
          <w:rFonts w:cs="Arial"/>
          <w:color w:val="000000"/>
          <w:kern w:val="0"/>
          <w14:ligatures w14:val="none"/>
        </w:rPr>
        <w:t xml:space="preserve">Sweet, L., O’Driscoll, K., </w:t>
      </w:r>
      <w:proofErr w:type="spellStart"/>
      <w:r w:rsidRPr="00E64AC2">
        <w:rPr>
          <w:rFonts w:cs="Arial"/>
          <w:color w:val="000000"/>
          <w:kern w:val="0"/>
          <w14:ligatures w14:val="none"/>
        </w:rPr>
        <w:t>Blums</w:t>
      </w:r>
      <w:proofErr w:type="spellEnd"/>
      <w:r w:rsidRPr="00E64AC2">
        <w:rPr>
          <w:rFonts w:cs="Arial"/>
          <w:color w:val="000000"/>
          <w:kern w:val="0"/>
          <w14:ligatures w14:val="none"/>
        </w:rPr>
        <w:t xml:space="preserve">, T., </w:t>
      </w:r>
      <w:proofErr w:type="spellStart"/>
      <w:r w:rsidRPr="00E64AC2">
        <w:rPr>
          <w:rFonts w:cs="Arial"/>
          <w:color w:val="000000"/>
          <w:kern w:val="0"/>
          <w14:ligatures w14:val="none"/>
        </w:rPr>
        <w:t>Sommeling</w:t>
      </w:r>
      <w:proofErr w:type="spellEnd"/>
      <w:r w:rsidRPr="00E64AC2">
        <w:rPr>
          <w:rFonts w:cs="Arial"/>
          <w:color w:val="000000"/>
          <w:kern w:val="0"/>
          <w14:ligatures w14:val="none"/>
        </w:rPr>
        <w:t xml:space="preserve">, M., Kolar, R. &amp; et al. (2023). Relationships are the key to a successful publicly funded homebirth program, a qualitative study. </w:t>
      </w:r>
      <w:r w:rsidRPr="009A3657">
        <w:rPr>
          <w:rFonts w:cs="Arial"/>
          <w:i/>
          <w:iCs/>
          <w:color w:val="000000"/>
          <w:kern w:val="0"/>
          <w14:ligatures w14:val="none"/>
        </w:rPr>
        <w:t>Women &amp; Birth, 36</w:t>
      </w:r>
      <w:r w:rsidRPr="00E64AC2">
        <w:rPr>
          <w:rFonts w:cs="Arial"/>
          <w:color w:val="000000"/>
          <w:kern w:val="0"/>
          <w14:ligatures w14:val="none"/>
        </w:rPr>
        <w:t>(4), 377–384. </w:t>
      </w:r>
      <w:hyperlink r:id="rId11" w:history="1">
        <w:r w:rsidRPr="00E64AC2">
          <w:rPr>
            <w:rFonts w:cs="Arial"/>
            <w:color w:val="1155CC"/>
            <w:kern w:val="0"/>
            <w:u w:val="single"/>
            <w14:ligatures w14:val="none"/>
          </w:rPr>
          <w:t>https://doi-org.ezproxy.canberra.edu.au/10.1016/j.wombi.2022.12.005</w:t>
        </w:r>
      </w:hyperlink>
      <w:r w:rsidRPr="00E64AC2">
        <w:rPr>
          <w:rFonts w:cs="Arial"/>
          <w:color w:val="000000"/>
          <w:kern w:val="0"/>
          <w14:ligatures w14:val="none"/>
        </w:rPr>
        <w:t>.</w:t>
      </w:r>
    </w:p>
    <w:p w14:paraId="660E1C0E" w14:textId="3DA89C97" w:rsidR="00E64AC2" w:rsidRPr="00E64AC2" w:rsidRDefault="00E64AC2" w:rsidP="009A3657">
      <w:pPr>
        <w:ind w:left="357" w:hanging="357"/>
        <w:divId w:val="1268002112"/>
        <w:rPr>
          <w:rFonts w:cs="Times New Roman"/>
          <w:kern w:val="0"/>
          <w14:ligatures w14:val="none"/>
        </w:rPr>
      </w:pPr>
      <w:r w:rsidRPr="00E64AC2">
        <w:rPr>
          <w:rFonts w:cs="Arial"/>
          <w:color w:val="000000"/>
          <w:kern w:val="0"/>
          <w14:ligatures w14:val="none"/>
        </w:rPr>
        <w:t xml:space="preserve">Sweet, L., Wynter, K., O’Driscoll, K., </w:t>
      </w:r>
      <w:proofErr w:type="spellStart"/>
      <w:r w:rsidRPr="00E64AC2">
        <w:rPr>
          <w:rFonts w:cs="Arial"/>
          <w:color w:val="000000"/>
          <w:kern w:val="0"/>
          <w14:ligatures w14:val="none"/>
        </w:rPr>
        <w:t>Blums</w:t>
      </w:r>
      <w:proofErr w:type="spellEnd"/>
      <w:r w:rsidRPr="00E64AC2">
        <w:rPr>
          <w:rFonts w:cs="Arial"/>
          <w:color w:val="000000"/>
          <w:kern w:val="0"/>
          <w14:ligatures w14:val="none"/>
        </w:rPr>
        <w:t xml:space="preserve">, T., </w:t>
      </w:r>
      <w:proofErr w:type="spellStart"/>
      <w:r w:rsidRPr="00E64AC2">
        <w:rPr>
          <w:rFonts w:cs="Arial"/>
          <w:color w:val="000000"/>
          <w:kern w:val="0"/>
          <w14:ligatures w14:val="none"/>
        </w:rPr>
        <w:t>Nenke</w:t>
      </w:r>
      <w:proofErr w:type="spellEnd"/>
      <w:r w:rsidRPr="00E64AC2">
        <w:rPr>
          <w:rFonts w:cs="Arial"/>
          <w:color w:val="000000"/>
          <w:kern w:val="0"/>
          <w14:ligatures w14:val="none"/>
        </w:rPr>
        <w:t>, A. &amp; et al. (2022). Ten years of a publicly funded homebirth service in Victoria: Maternal and neonatal outcomes</w:t>
      </w:r>
      <w:r w:rsidRPr="009A3657">
        <w:rPr>
          <w:rFonts w:cs="Arial"/>
          <w:i/>
          <w:iCs/>
          <w:color w:val="000000"/>
          <w:kern w:val="0"/>
          <w14:ligatures w14:val="none"/>
        </w:rPr>
        <w:t>. Australian &amp; New Zealand Journal of Obstetrics &amp; Gynaecology, 62</w:t>
      </w:r>
      <w:r w:rsidRPr="00E64AC2">
        <w:rPr>
          <w:rFonts w:cs="Arial"/>
          <w:color w:val="000000"/>
          <w:kern w:val="0"/>
          <w14:ligatures w14:val="none"/>
        </w:rPr>
        <w:t xml:space="preserve">(5), 664–673. </w:t>
      </w:r>
      <w:hyperlink r:id="rId12" w:history="1">
        <w:r w:rsidRPr="00E64AC2">
          <w:rPr>
            <w:rFonts w:cs="Arial"/>
            <w:color w:val="1155CC"/>
            <w:kern w:val="0"/>
            <w:u w:val="single"/>
            <w14:ligatures w14:val="none"/>
          </w:rPr>
          <w:t>https://doi-org.ezproxy.canberra.edu.au/10.1111/ajo.13518</w:t>
        </w:r>
      </w:hyperlink>
      <w:r w:rsidRPr="00E64AC2">
        <w:rPr>
          <w:rFonts w:cs="Arial"/>
          <w:color w:val="000000"/>
          <w:kern w:val="0"/>
          <w14:ligatures w14:val="none"/>
        </w:rPr>
        <w:t>.</w:t>
      </w:r>
    </w:p>
    <w:p w14:paraId="4908AC80" w14:textId="09C55504" w:rsidR="00E64AC2" w:rsidRPr="00152BEE" w:rsidRDefault="00E64AC2" w:rsidP="009A3657">
      <w:pPr>
        <w:ind w:left="357" w:hanging="357"/>
        <w:divId w:val="126800211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64AC2">
        <w:rPr>
          <w:rFonts w:cs="Arial"/>
          <w:color w:val="000000"/>
          <w:kern w:val="0"/>
          <w14:ligatures w14:val="none"/>
        </w:rPr>
        <w:t xml:space="preserve">Symon, A. (2000). Litigation and changes in professional behaviour: a qualitative appraisal. </w:t>
      </w:r>
      <w:r w:rsidRPr="009A3657">
        <w:rPr>
          <w:rFonts w:cs="Arial"/>
          <w:i/>
          <w:iCs/>
          <w:color w:val="000000"/>
          <w:kern w:val="0"/>
          <w14:ligatures w14:val="none"/>
        </w:rPr>
        <w:t>Midwifery, 16</w:t>
      </w:r>
      <w:r w:rsidRPr="00E64AC2">
        <w:rPr>
          <w:rFonts w:cs="Arial"/>
          <w:color w:val="000000"/>
          <w:kern w:val="0"/>
          <w14:ligatures w14:val="none"/>
        </w:rPr>
        <w:t>(1), 15–21. </w:t>
      </w:r>
      <w:hyperlink r:id="rId13" w:history="1">
        <w:r w:rsidRPr="00E64AC2">
          <w:rPr>
            <w:rFonts w:cs="Arial"/>
            <w:color w:val="1155CC"/>
            <w:kern w:val="0"/>
            <w:u w:val="single"/>
            <w14:ligatures w14:val="none"/>
          </w:rPr>
          <w:t>https://doi-org.ezproxy.canberra.edu.au/10.1054/midw.1999.0193</w:t>
        </w:r>
      </w:hyperlink>
      <w:r w:rsidRPr="00E64AC2">
        <w:rPr>
          <w:rFonts w:ascii="Arial" w:hAnsi="Arial" w:cs="Arial"/>
          <w:color w:val="000000"/>
          <w:kern w:val="0"/>
          <w14:ligatures w14:val="none"/>
        </w:rPr>
        <w:t>.</w:t>
      </w:r>
    </w:p>
    <w:sectPr w:rsidR="00E64AC2" w:rsidRPr="00152B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4D"/>
    <w:rsid w:val="00053AA5"/>
    <w:rsid w:val="00152BEE"/>
    <w:rsid w:val="002E7E4D"/>
    <w:rsid w:val="003862F5"/>
    <w:rsid w:val="00681D47"/>
    <w:rsid w:val="0076230C"/>
    <w:rsid w:val="007C7677"/>
    <w:rsid w:val="00881871"/>
    <w:rsid w:val="00900677"/>
    <w:rsid w:val="009A3657"/>
    <w:rsid w:val="009C6D89"/>
    <w:rsid w:val="009D7DFA"/>
    <w:rsid w:val="009E3A57"/>
    <w:rsid w:val="00A938B4"/>
    <w:rsid w:val="00AB2606"/>
    <w:rsid w:val="00AC3DAF"/>
    <w:rsid w:val="00B36DF6"/>
    <w:rsid w:val="00BC64E4"/>
    <w:rsid w:val="00C36447"/>
    <w:rsid w:val="00C6315D"/>
    <w:rsid w:val="00C760E3"/>
    <w:rsid w:val="00C777B1"/>
    <w:rsid w:val="00CA4887"/>
    <w:rsid w:val="00E6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A473D"/>
  <w15:chartTrackingRefBased/>
  <w15:docId w15:val="{37A4DA4D-E63C-9A4D-BBC9-66631642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4">
    <w:name w:val="s4"/>
    <w:basedOn w:val="Normal"/>
    <w:rsid w:val="002E7E4D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3">
    <w:name w:val="s3"/>
    <w:basedOn w:val="DefaultParagraphFont"/>
    <w:rsid w:val="002E7E4D"/>
  </w:style>
  <w:style w:type="paragraph" w:customStyle="1" w:styleId="s2">
    <w:name w:val="s2"/>
    <w:basedOn w:val="Normal"/>
    <w:rsid w:val="002E7E4D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DefaultParagraphFont"/>
    <w:rsid w:val="002E7E4D"/>
  </w:style>
  <w:style w:type="paragraph" w:styleId="NormalWeb">
    <w:name w:val="Normal (Web)"/>
    <w:basedOn w:val="Normal"/>
    <w:uiPriority w:val="99"/>
    <w:semiHidden/>
    <w:unhideWhenUsed/>
    <w:rsid w:val="00E64AC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64AC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0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-org.ezproxy.canberra.edu.au/10.1016/j.wombi.2019.06.003" TargetMode="External"/><Relationship Id="rId13" Type="http://schemas.openxmlformats.org/officeDocument/2006/relationships/hyperlink" Target="https://doi-org.ezproxy.canberra.edu.au/10.1054/midw.1999.0193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doi-org.ezproxy.canberra.edu.au/10.1891/2156-5287.4.1.39" TargetMode="External"/><Relationship Id="rId12" Type="http://schemas.openxmlformats.org/officeDocument/2006/relationships/hyperlink" Target="https://doi-org.ezproxy.canberra.edu.au/10.1111/ajo.13518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doi-org.ezproxy.canberra.edu.au/10.1016/j.midw.2008.07.008" TargetMode="External"/><Relationship Id="rId11" Type="http://schemas.openxmlformats.org/officeDocument/2006/relationships/hyperlink" Target="https://doi-org.ezproxy.canberra.edu.au/10.1016/j.wombi.2022.12.005" TargetMode="External"/><Relationship Id="rId5" Type="http://schemas.openxmlformats.org/officeDocument/2006/relationships/hyperlink" Target="https://doi-org.ezproxy.canberra.edu.au/10.1111/birt.1253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i-org.ezproxy.canberra.edu.au/10.1186/s12913-021-06810-9" TargetMode="External"/><Relationship Id="rId4" Type="http://schemas.openxmlformats.org/officeDocument/2006/relationships/hyperlink" Target="https://doi-org.ezproxy.canberra.edu.au/10.1016/j.wombi.2020.09.002" TargetMode="External"/><Relationship Id="rId9" Type="http://schemas.openxmlformats.org/officeDocument/2006/relationships/hyperlink" Target="https://doi-org.ezproxy.canberra.edu.au/10.1016/j.wombi.2019.06.0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6EC9853FEED438B8774253D38AEA0" ma:contentTypeVersion="16" ma:contentTypeDescription="Create a new document." ma:contentTypeScope="" ma:versionID="fb359fa3da0241762fea3fda3914d50b">
  <xsd:schema xmlns:xsd="http://www.w3.org/2001/XMLSchema" xmlns:xs="http://www.w3.org/2001/XMLSchema" xmlns:p="http://schemas.microsoft.com/office/2006/metadata/properties" xmlns:ns2="dcd9a016-b44f-4930-82c1-5cbadada6b38" xmlns:ns3="a1c7c5d5-5171-4684-8fa5-b0a1f8de44fe" targetNamespace="http://schemas.microsoft.com/office/2006/metadata/properties" ma:root="true" ma:fieldsID="5c27852116bda8deebf3e4f3bd63c66a" ns2:_="" ns3:_="">
    <xsd:import namespace="dcd9a016-b44f-4930-82c1-5cbadada6b38"/>
    <xsd:import namespace="a1c7c5d5-5171-4684-8fa5-b0a1f8de4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9a016-b44f-4930-82c1-5cbadada6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cf5ef57-529e-46be-8634-0635eb743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7c5d5-5171-4684-8fa5-b0a1f8de4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0d32355-3a6f-4619-96a1-bed4e4853400}" ma:internalName="TaxCatchAll" ma:showField="CatchAllData" ma:web="a1c7c5d5-5171-4684-8fa5-b0a1f8de4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c7c5d5-5171-4684-8fa5-b0a1f8de44fe" xsi:nil="true"/>
    <lcf76f155ced4ddcb4097134ff3c332f xmlns="dcd9a016-b44f-4930-82c1-5cbadada6b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D82F9E-0C0C-46C0-854F-2AFB24964D7C}"/>
</file>

<file path=customXml/itemProps2.xml><?xml version="1.0" encoding="utf-8"?>
<ds:datastoreItem xmlns:ds="http://schemas.openxmlformats.org/officeDocument/2006/customXml" ds:itemID="{C7D69B7B-3241-4A14-879A-26062BF90F64}"/>
</file>

<file path=customXml/itemProps3.xml><?xml version="1.0" encoding="utf-8"?>
<ds:datastoreItem xmlns:ds="http://schemas.openxmlformats.org/officeDocument/2006/customXml" ds:itemID="{C75F4681-3973-4680-B8B9-ACB103E484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4901</TotalTime>
  <Pages>2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Jones</dc:creator>
  <cp:keywords/>
  <dc:description/>
  <cp:lastModifiedBy>Marjorie.Atchan</cp:lastModifiedBy>
  <cp:revision>17</cp:revision>
  <dcterms:created xsi:type="dcterms:W3CDTF">2023-09-15T01:55:00Z</dcterms:created>
  <dcterms:modified xsi:type="dcterms:W3CDTF">2023-09-22T04:31:00Z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6fef03-d487-4433-8e43-6b81c0a1b7be_Enabled">
    <vt:lpwstr>true</vt:lpwstr>
  </property>
  <property fmtid="{D5CDD505-2E9C-101B-9397-08002B2CF9AE}" pid="3" name="MSIP_Label_bf6fef03-d487-4433-8e43-6b81c0a1b7be_SetDate">
    <vt:lpwstr>2023-09-22T04:23:50Z</vt:lpwstr>
  </property>
  <property fmtid="{D5CDD505-2E9C-101B-9397-08002B2CF9AE}" pid="4" name="MSIP_Label_bf6fef03-d487-4433-8e43-6b81c0a1b7be_Method">
    <vt:lpwstr>Standard</vt:lpwstr>
  </property>
  <property fmtid="{D5CDD505-2E9C-101B-9397-08002B2CF9AE}" pid="5" name="MSIP_Label_bf6fef03-d487-4433-8e43-6b81c0a1b7be_Name">
    <vt:lpwstr>Unclassified</vt:lpwstr>
  </property>
  <property fmtid="{D5CDD505-2E9C-101B-9397-08002B2CF9AE}" pid="6" name="MSIP_Label_bf6fef03-d487-4433-8e43-6b81c0a1b7be_SiteId">
    <vt:lpwstr>1daf5147-a543-4707-a2fb-2acf0b2a3936</vt:lpwstr>
  </property>
  <property fmtid="{D5CDD505-2E9C-101B-9397-08002B2CF9AE}" pid="7" name="MSIP_Label_bf6fef03-d487-4433-8e43-6b81c0a1b7be_ActionId">
    <vt:lpwstr>4370df7c-3e55-4127-a77d-104b79d0593c</vt:lpwstr>
  </property>
  <property fmtid="{D5CDD505-2E9C-101B-9397-08002B2CF9AE}" pid="8" name="MSIP_Label_bf6fef03-d487-4433-8e43-6b81c0a1b7be_ContentBits">
    <vt:lpwstr>0</vt:lpwstr>
  </property>
  <property fmtid="{D5CDD505-2E9C-101B-9397-08002B2CF9AE}" pid="9" name="ContentTypeId">
    <vt:lpwstr>0x0101008906EC9853FEED438B8774253D38AEA0</vt:lpwstr>
  </property>
</Properties>
</file>