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8FBB" w14:textId="045AD297" w:rsidR="00A46457" w:rsidRDefault="00A46457" w:rsidP="00ED4136">
      <w:pPr>
        <w:pStyle w:val="Heading2"/>
        <w:rPr>
          <w:sz w:val="40"/>
          <w:szCs w:val="40"/>
        </w:rPr>
      </w:pPr>
      <w:r w:rsidRPr="00A46457">
        <w:rPr>
          <w:sz w:val="40"/>
          <w:szCs w:val="40"/>
        </w:rPr>
        <w:t xml:space="preserve">Communique </w:t>
      </w:r>
    </w:p>
    <w:p w14:paraId="442659DB" w14:textId="30F68708" w:rsidR="00A46457" w:rsidRDefault="00A46457" w:rsidP="00ED4136">
      <w:pPr>
        <w:pStyle w:val="Heading2"/>
        <w:rPr>
          <w:sz w:val="40"/>
          <w:szCs w:val="40"/>
        </w:rPr>
      </w:pPr>
      <w:r w:rsidRPr="00A46457">
        <w:rPr>
          <w:sz w:val="40"/>
          <w:szCs w:val="40"/>
        </w:rPr>
        <w:t>University Council Meeting C2</w:t>
      </w:r>
      <w:r w:rsidR="007F0D59">
        <w:rPr>
          <w:sz w:val="40"/>
          <w:szCs w:val="40"/>
        </w:rPr>
        <w:t>6</w:t>
      </w:r>
      <w:r w:rsidR="00DD2985">
        <w:rPr>
          <w:sz w:val="40"/>
          <w:szCs w:val="40"/>
        </w:rPr>
        <w:t>1</w:t>
      </w:r>
      <w:r>
        <w:rPr>
          <w:sz w:val="40"/>
          <w:szCs w:val="40"/>
        </w:rPr>
        <w:t>,</w:t>
      </w:r>
      <w:r w:rsidRPr="00A46457">
        <w:rPr>
          <w:sz w:val="40"/>
          <w:szCs w:val="40"/>
        </w:rPr>
        <w:t xml:space="preserve"> </w:t>
      </w:r>
      <w:r w:rsidR="00DD2985">
        <w:rPr>
          <w:sz w:val="40"/>
          <w:szCs w:val="40"/>
        </w:rPr>
        <w:t>12 March 2026</w:t>
      </w:r>
    </w:p>
    <w:p w14:paraId="74478D9B" w14:textId="77777777" w:rsidR="00A46457" w:rsidRDefault="00A46457" w:rsidP="00ED4136">
      <w:pPr>
        <w:pStyle w:val="Heading2"/>
      </w:pPr>
    </w:p>
    <w:p w14:paraId="3765E03B" w14:textId="71033F7E" w:rsidR="00A46457" w:rsidRPr="006C1A2C" w:rsidRDefault="00A46457" w:rsidP="00A46457">
      <w:pPr>
        <w:rPr>
          <w:color w:val="auto"/>
        </w:rPr>
      </w:pPr>
      <w:r w:rsidRPr="006C1A2C">
        <w:rPr>
          <w:color w:val="auto"/>
        </w:rPr>
        <w:t xml:space="preserve">The University of Canberra Council met for </w:t>
      </w:r>
      <w:r w:rsidR="00B0290A">
        <w:rPr>
          <w:color w:val="auto"/>
        </w:rPr>
        <w:t xml:space="preserve">its </w:t>
      </w:r>
      <w:r w:rsidR="00C14B65">
        <w:rPr>
          <w:color w:val="auto"/>
        </w:rPr>
        <w:t>first</w:t>
      </w:r>
      <w:r w:rsidR="009F2BFE">
        <w:rPr>
          <w:color w:val="auto"/>
        </w:rPr>
        <w:t xml:space="preserve"> ordinary meeting of 202</w:t>
      </w:r>
      <w:r w:rsidR="00C14B65">
        <w:rPr>
          <w:color w:val="auto"/>
        </w:rPr>
        <w:t>6</w:t>
      </w:r>
      <w:r w:rsidR="009F2BFE">
        <w:rPr>
          <w:color w:val="auto"/>
        </w:rPr>
        <w:t xml:space="preserve"> </w:t>
      </w:r>
      <w:r w:rsidRPr="006C1A2C">
        <w:rPr>
          <w:color w:val="auto"/>
        </w:rPr>
        <w:t xml:space="preserve">on Thursday, </w:t>
      </w:r>
      <w:r w:rsidR="00C14B65">
        <w:rPr>
          <w:color w:val="auto"/>
        </w:rPr>
        <w:t>12 March</w:t>
      </w:r>
      <w:r w:rsidRPr="006C1A2C">
        <w:rPr>
          <w:color w:val="auto"/>
        </w:rPr>
        <w:t xml:space="preserve">. </w:t>
      </w:r>
    </w:p>
    <w:p w14:paraId="60819B48" w14:textId="2854286B" w:rsidR="00BC74DB" w:rsidRDefault="003A2405" w:rsidP="00BC74DB">
      <w:pPr>
        <w:rPr>
          <w:color w:val="auto"/>
        </w:rPr>
      </w:pPr>
      <w:r>
        <w:rPr>
          <w:color w:val="auto"/>
        </w:rPr>
        <w:t xml:space="preserve">The Vice-Chancellor’s </w:t>
      </w:r>
      <w:r w:rsidR="001D7425">
        <w:rPr>
          <w:color w:val="auto"/>
        </w:rPr>
        <w:t>R</w:t>
      </w:r>
      <w:r>
        <w:rPr>
          <w:color w:val="auto"/>
        </w:rPr>
        <w:t>eport included</w:t>
      </w:r>
      <w:r w:rsidR="00554A64">
        <w:rPr>
          <w:color w:val="auto"/>
        </w:rPr>
        <w:t xml:space="preserve"> discussion on</w:t>
      </w:r>
      <w:r>
        <w:rPr>
          <w:color w:val="auto"/>
        </w:rPr>
        <w:t xml:space="preserve">: </w:t>
      </w:r>
    </w:p>
    <w:p w14:paraId="337FA88A" w14:textId="00F7439D" w:rsidR="00554A64" w:rsidRDefault="00554A64" w:rsidP="00BC74DB">
      <w:pPr>
        <w:rPr>
          <w:color w:val="auto"/>
        </w:rPr>
      </w:pPr>
      <w:r w:rsidRPr="00554A64">
        <w:rPr>
          <w:b/>
          <w:bCs/>
          <w:color w:val="auto"/>
        </w:rPr>
        <w:t>Financial sustainability</w:t>
      </w:r>
      <w:r>
        <w:rPr>
          <w:color w:val="auto"/>
        </w:rPr>
        <w:t xml:space="preserve">: The University’s 2025 financial year ended better than forecast, with a </w:t>
      </w:r>
      <w:r w:rsidRPr="00554A64">
        <w:rPr>
          <w:color w:val="auto"/>
        </w:rPr>
        <w:t xml:space="preserve">$4.2m deficit </w:t>
      </w:r>
      <w:r>
        <w:rPr>
          <w:color w:val="auto"/>
        </w:rPr>
        <w:t xml:space="preserve">reported </w:t>
      </w:r>
      <w:r w:rsidRPr="00554A64">
        <w:rPr>
          <w:color w:val="auto"/>
        </w:rPr>
        <w:t>compared with the budgeted $10.7m deficit.</w:t>
      </w:r>
      <w:r w:rsidRPr="00554A64">
        <w:t xml:space="preserve"> </w:t>
      </w:r>
      <w:r w:rsidRPr="00554A64">
        <w:rPr>
          <w:color w:val="auto"/>
        </w:rPr>
        <w:t>Additional non</w:t>
      </w:r>
      <w:r>
        <w:rPr>
          <w:color w:val="auto"/>
        </w:rPr>
        <w:t>-</w:t>
      </w:r>
      <w:r w:rsidRPr="00554A64">
        <w:rPr>
          <w:color w:val="auto"/>
        </w:rPr>
        <w:t>research revenue and favourable year</w:t>
      </w:r>
      <w:r>
        <w:rPr>
          <w:color w:val="auto"/>
        </w:rPr>
        <w:t>-</w:t>
      </w:r>
      <w:r w:rsidRPr="00554A64">
        <w:rPr>
          <w:color w:val="auto"/>
        </w:rPr>
        <w:t>end movements contributed, and operating expenses were below budget, reflecting strong organisational restraint.</w:t>
      </w:r>
      <w:r w:rsidRPr="00554A64">
        <w:t xml:space="preserve"> </w:t>
      </w:r>
      <w:r w:rsidRPr="00554A64">
        <w:rPr>
          <w:color w:val="auto"/>
        </w:rPr>
        <w:t>Excluding termination payments, the underlying result was an $11.6m operating surplus.</w:t>
      </w:r>
      <w:r>
        <w:rPr>
          <w:color w:val="auto"/>
        </w:rPr>
        <w:t xml:space="preserve"> In 2026, </w:t>
      </w:r>
      <w:r w:rsidR="009003F3" w:rsidRPr="009003F3">
        <w:rPr>
          <w:color w:val="auto"/>
        </w:rPr>
        <w:t xml:space="preserve">overall enrolments </w:t>
      </w:r>
      <w:r w:rsidR="009003F3">
        <w:rPr>
          <w:color w:val="auto"/>
        </w:rPr>
        <w:t>were</w:t>
      </w:r>
      <w:r w:rsidR="009003F3" w:rsidRPr="009003F3">
        <w:rPr>
          <w:color w:val="auto"/>
        </w:rPr>
        <w:t xml:space="preserve"> tracking wel</w:t>
      </w:r>
      <w:r w:rsidR="009003F3">
        <w:rPr>
          <w:color w:val="auto"/>
        </w:rPr>
        <w:t xml:space="preserve">l, noting Census date was 13 March. </w:t>
      </w:r>
    </w:p>
    <w:p w14:paraId="06949290" w14:textId="58079C79" w:rsidR="003A2405" w:rsidRDefault="003A2405" w:rsidP="003A2405">
      <w:pPr>
        <w:rPr>
          <w:color w:val="auto"/>
        </w:rPr>
      </w:pPr>
      <w:r w:rsidRPr="00554A64">
        <w:rPr>
          <w:b/>
          <w:bCs/>
          <w:color w:val="auto"/>
        </w:rPr>
        <w:t>Global Engagement Strategy</w:t>
      </w:r>
      <w:r>
        <w:rPr>
          <w:color w:val="auto"/>
        </w:rPr>
        <w:t xml:space="preserve">:  The University has a </w:t>
      </w:r>
      <w:r w:rsidRPr="003A2405">
        <w:rPr>
          <w:color w:val="auto"/>
        </w:rPr>
        <w:t xml:space="preserve">strong track record in delivering third-party TNE </w:t>
      </w:r>
      <w:r>
        <w:rPr>
          <w:color w:val="auto"/>
        </w:rPr>
        <w:t xml:space="preserve">(transnational education) </w:t>
      </w:r>
      <w:r w:rsidRPr="003A2405">
        <w:rPr>
          <w:color w:val="auto"/>
        </w:rPr>
        <w:t>across multiple countries</w:t>
      </w:r>
      <w:r>
        <w:rPr>
          <w:color w:val="auto"/>
        </w:rPr>
        <w:t xml:space="preserve"> (e.g. China, Bhutan, Vietnam) and the proposed Strategy and its four pillars will build on this. An assessment framework had been developed for potential TNE projects</w:t>
      </w:r>
      <w:r w:rsidR="00554A64">
        <w:rPr>
          <w:color w:val="auto"/>
        </w:rPr>
        <w:t xml:space="preserve"> and had been applied to the ECA India proposal. Council endorsed </w:t>
      </w:r>
      <w:r w:rsidR="00554A64" w:rsidRPr="00554A64">
        <w:rPr>
          <w:color w:val="auto"/>
        </w:rPr>
        <w:t>UC lodg</w:t>
      </w:r>
      <w:r w:rsidR="00554A64">
        <w:rPr>
          <w:color w:val="auto"/>
        </w:rPr>
        <w:t>ing</w:t>
      </w:r>
      <w:r w:rsidR="00554A64" w:rsidRPr="00554A64">
        <w:rPr>
          <w:color w:val="auto"/>
        </w:rPr>
        <w:t xml:space="preserve"> an application to the Indian Government’s University Grants Commission (UGC) to establish a branch campus in India with partner ECA</w:t>
      </w:r>
      <w:r w:rsidR="00554A64">
        <w:rPr>
          <w:color w:val="auto"/>
        </w:rPr>
        <w:t xml:space="preserve"> and noted a full business case would be developed for assessment</w:t>
      </w:r>
      <w:r w:rsidR="00554A64" w:rsidRPr="00554A64">
        <w:rPr>
          <w:color w:val="auto"/>
        </w:rPr>
        <w:t>.</w:t>
      </w:r>
    </w:p>
    <w:p w14:paraId="3EDA1A54" w14:textId="0A6B87A7" w:rsidR="009003F3" w:rsidRDefault="00C37347" w:rsidP="009003F3">
      <w:pPr>
        <w:rPr>
          <w:color w:val="auto"/>
        </w:rPr>
      </w:pPr>
      <w:r w:rsidRPr="00C37347">
        <w:rPr>
          <w:b/>
          <w:bCs/>
          <w:color w:val="auto"/>
        </w:rPr>
        <w:t>Special Envoy on Antisemitism’s University Report Card process</w:t>
      </w:r>
      <w:r>
        <w:rPr>
          <w:color w:val="auto"/>
        </w:rPr>
        <w:t>: t</w:t>
      </w:r>
      <w:r w:rsidRPr="00C37347">
        <w:rPr>
          <w:color w:val="auto"/>
        </w:rPr>
        <w:t xml:space="preserve">he national University Report Card process </w:t>
      </w:r>
      <w:r>
        <w:rPr>
          <w:color w:val="auto"/>
        </w:rPr>
        <w:t xml:space="preserve">was considered. Council confirmed its support for the University to adopt the IHRA </w:t>
      </w:r>
      <w:r w:rsidRPr="00C37347">
        <w:rPr>
          <w:color w:val="auto"/>
        </w:rPr>
        <w:t>definition of antisemitism</w:t>
      </w:r>
      <w:r>
        <w:rPr>
          <w:color w:val="auto"/>
        </w:rPr>
        <w:t xml:space="preserve">. The University will also adopt </w:t>
      </w:r>
      <w:r w:rsidRPr="00C37347">
        <w:rPr>
          <w:color w:val="auto"/>
        </w:rPr>
        <w:t>parallel definitions for Islamophobia, racism, homophobia and other forms of discrimination to ensure a consistent institutional approach.</w:t>
      </w:r>
      <w:r>
        <w:rPr>
          <w:color w:val="auto"/>
        </w:rPr>
        <w:t xml:space="preserve"> Council agreed to </w:t>
      </w:r>
      <w:r w:rsidRPr="00C37347">
        <w:rPr>
          <w:color w:val="auto"/>
        </w:rPr>
        <w:t xml:space="preserve">approve </w:t>
      </w:r>
      <w:r>
        <w:rPr>
          <w:color w:val="auto"/>
        </w:rPr>
        <w:t>the University’s</w:t>
      </w:r>
      <w:r w:rsidRPr="00C37347">
        <w:rPr>
          <w:color w:val="auto"/>
        </w:rPr>
        <w:t xml:space="preserve"> commitment to preventing and responding to Antisemitism outlined, incorporating five areas of action</w:t>
      </w:r>
      <w:r>
        <w:rPr>
          <w:color w:val="auto"/>
        </w:rPr>
        <w:t xml:space="preserve">. </w:t>
      </w:r>
      <w:r w:rsidRPr="00C37347">
        <w:rPr>
          <w:color w:val="auto"/>
        </w:rPr>
        <w:t xml:space="preserve"> </w:t>
      </w:r>
    </w:p>
    <w:p w14:paraId="3C83D9A8" w14:textId="7DC01734" w:rsidR="009003F3" w:rsidRDefault="009003F3" w:rsidP="00BC74DB">
      <w:pPr>
        <w:rPr>
          <w:color w:val="auto"/>
        </w:rPr>
      </w:pPr>
      <w:proofErr w:type="spellStart"/>
      <w:r w:rsidRPr="00C37347">
        <w:rPr>
          <w:b/>
          <w:bCs/>
          <w:color w:val="auto"/>
        </w:rPr>
        <w:t>Racism</w:t>
      </w:r>
      <w:r w:rsidR="00C37347">
        <w:rPr>
          <w:b/>
          <w:bCs/>
          <w:color w:val="auto"/>
        </w:rPr>
        <w:t>@Uni</w:t>
      </w:r>
      <w:proofErr w:type="spellEnd"/>
      <w:r w:rsidR="00C37347">
        <w:rPr>
          <w:b/>
          <w:bCs/>
          <w:color w:val="auto"/>
        </w:rPr>
        <w:t xml:space="preserve"> Report: </w:t>
      </w:r>
      <w:r w:rsidR="00C37347" w:rsidRPr="00C37347">
        <w:rPr>
          <w:color w:val="auto"/>
        </w:rPr>
        <w:t xml:space="preserve">The VC advised </w:t>
      </w:r>
      <w:r w:rsidR="00C37347" w:rsidRPr="00A40BEA">
        <w:rPr>
          <w:color w:val="auto"/>
        </w:rPr>
        <w:t>Council</w:t>
      </w:r>
      <w:r w:rsidR="00C37347" w:rsidRPr="005305FF">
        <w:rPr>
          <w:color w:val="auto"/>
        </w:rPr>
        <w:t xml:space="preserve"> t</w:t>
      </w:r>
      <w:r w:rsidR="00C37347" w:rsidRPr="00C37347">
        <w:rPr>
          <w:color w:val="auto"/>
        </w:rPr>
        <w:t xml:space="preserve">he University has made a public statement on the Report and </w:t>
      </w:r>
      <w:r w:rsidR="0080563E">
        <w:rPr>
          <w:color w:val="auto"/>
        </w:rPr>
        <w:t>is</w:t>
      </w:r>
      <w:r w:rsidR="00C37347" w:rsidRPr="00C37347">
        <w:rPr>
          <w:color w:val="auto"/>
        </w:rPr>
        <w:t xml:space="preserve"> committed to fostering a culture of respect and creating a positive campu</w:t>
      </w:r>
      <w:r w:rsidR="00C37347" w:rsidRPr="0080563E">
        <w:rPr>
          <w:color w:val="auto"/>
        </w:rPr>
        <w:t xml:space="preserve">s environment. </w:t>
      </w:r>
      <w:r w:rsidR="0080563E">
        <w:rPr>
          <w:color w:val="auto"/>
        </w:rPr>
        <w:t xml:space="preserve">The Report will inform </w:t>
      </w:r>
      <w:r w:rsidR="0080563E" w:rsidRPr="0080563E">
        <w:rPr>
          <w:color w:val="auto"/>
        </w:rPr>
        <w:t>our combatting antisemitism strategy</w:t>
      </w:r>
      <w:r w:rsidR="0080563E">
        <w:rPr>
          <w:color w:val="auto"/>
        </w:rPr>
        <w:t xml:space="preserve">. </w:t>
      </w:r>
      <w:r w:rsidR="0080563E" w:rsidRPr="0080563E">
        <w:rPr>
          <w:color w:val="auto"/>
        </w:rPr>
        <w:t xml:space="preserve"> </w:t>
      </w:r>
    </w:p>
    <w:p w14:paraId="1B0AAAF5" w14:textId="77777777" w:rsidR="009003F3" w:rsidRDefault="009003F3" w:rsidP="00145CE2">
      <w:pPr>
        <w:rPr>
          <w:color w:val="auto"/>
        </w:rPr>
      </w:pPr>
      <w:r w:rsidRPr="009003F3">
        <w:rPr>
          <w:b/>
          <w:bCs/>
          <w:color w:val="auto"/>
        </w:rPr>
        <w:t>Academic matters</w:t>
      </w:r>
      <w:r>
        <w:rPr>
          <w:color w:val="auto"/>
        </w:rPr>
        <w:t xml:space="preserve"> discussed at Council included: </w:t>
      </w:r>
    </w:p>
    <w:p w14:paraId="3454C76D" w14:textId="2E1F6D66" w:rsidR="00BC74DB" w:rsidRDefault="00BC74DB" w:rsidP="00145CE2">
      <w:pPr>
        <w:rPr>
          <w:color w:val="auto"/>
        </w:rPr>
      </w:pPr>
      <w:r w:rsidRPr="0005064A">
        <w:rPr>
          <w:b/>
          <w:bCs/>
          <w:color w:val="auto"/>
        </w:rPr>
        <w:t xml:space="preserve">Strategic KPIs </w:t>
      </w:r>
      <w:r w:rsidR="0080563E" w:rsidRPr="0005064A">
        <w:rPr>
          <w:b/>
          <w:bCs/>
          <w:color w:val="auto"/>
        </w:rPr>
        <w:t>A</w:t>
      </w:r>
      <w:r w:rsidRPr="0005064A">
        <w:rPr>
          <w:b/>
          <w:bCs/>
          <w:color w:val="auto"/>
        </w:rPr>
        <w:t>cademic</w:t>
      </w:r>
      <w:r w:rsidR="0080563E">
        <w:rPr>
          <w:color w:val="auto"/>
        </w:rPr>
        <w:t>: Council considered updated KPIs for research and education including both some metrics and some targets</w:t>
      </w:r>
      <w:r w:rsidR="0005064A">
        <w:rPr>
          <w:color w:val="auto"/>
        </w:rPr>
        <w:t>,</w:t>
      </w:r>
      <w:r w:rsidR="0080563E">
        <w:rPr>
          <w:color w:val="auto"/>
        </w:rPr>
        <w:t xml:space="preserve"> as recommended by Academic Board. </w:t>
      </w:r>
      <w:r w:rsidR="0005064A">
        <w:rPr>
          <w:color w:val="auto"/>
        </w:rPr>
        <w:t>T</w:t>
      </w:r>
      <w:r w:rsidR="0005064A" w:rsidRPr="0005064A">
        <w:rPr>
          <w:color w:val="auto"/>
        </w:rPr>
        <w:t>he aim was to establish meaningful measures aligned with external expectations, including TEQSA and broader regulatory settings.</w:t>
      </w:r>
      <w:r w:rsidR="0005064A">
        <w:rPr>
          <w:color w:val="auto"/>
        </w:rPr>
        <w:t xml:space="preserve"> Council approved the changes though requested further review by Academic Board regarding Total Awarded Research Income KPI. </w:t>
      </w:r>
    </w:p>
    <w:p w14:paraId="49C3B26E" w14:textId="7684FDF9" w:rsidR="00BC74DB" w:rsidRDefault="00EE57AE" w:rsidP="00145CE2">
      <w:pPr>
        <w:rPr>
          <w:color w:val="auto"/>
        </w:rPr>
      </w:pPr>
      <w:r w:rsidRPr="00EE57AE">
        <w:rPr>
          <w:color w:val="auto"/>
        </w:rPr>
        <w:t>The</w:t>
      </w:r>
      <w:r>
        <w:rPr>
          <w:b/>
          <w:bCs/>
          <w:color w:val="auto"/>
        </w:rPr>
        <w:t xml:space="preserve"> </w:t>
      </w:r>
      <w:r w:rsidR="00BC74DB" w:rsidRPr="0005064A">
        <w:rPr>
          <w:b/>
          <w:bCs/>
          <w:color w:val="auto"/>
        </w:rPr>
        <w:t>Block Model</w:t>
      </w:r>
      <w:r w:rsidR="00BC74DB">
        <w:rPr>
          <w:color w:val="auto"/>
        </w:rPr>
        <w:t xml:space="preserve"> update </w:t>
      </w:r>
      <w:r>
        <w:rPr>
          <w:color w:val="auto"/>
        </w:rPr>
        <w:t>was noted by Council. Following extensive consultation, the DVC presented the outcomes. Next steps will include increasing</w:t>
      </w:r>
      <w:r w:rsidRPr="00EE57AE">
        <w:rPr>
          <w:color w:val="auto"/>
        </w:rPr>
        <w:t xml:space="preserve"> the number of post graduate courses at UC offered in block </w:t>
      </w:r>
      <w:r w:rsidR="00457F9E" w:rsidRPr="00EE57AE">
        <w:rPr>
          <w:color w:val="auto"/>
        </w:rPr>
        <w:t>mode</w:t>
      </w:r>
      <w:r w:rsidR="00457F9E">
        <w:rPr>
          <w:color w:val="auto"/>
        </w:rPr>
        <w:t>, exploring</w:t>
      </w:r>
      <w:r>
        <w:rPr>
          <w:color w:val="auto"/>
        </w:rPr>
        <w:t xml:space="preserve"> timetabling, and ensur</w:t>
      </w:r>
      <w:r w:rsidR="00780C5F">
        <w:rPr>
          <w:color w:val="auto"/>
        </w:rPr>
        <w:t>ing</w:t>
      </w:r>
      <w:r>
        <w:rPr>
          <w:color w:val="auto"/>
        </w:rPr>
        <w:t xml:space="preserve"> reasonable academic workloads</w:t>
      </w:r>
      <w:r w:rsidR="00780C5F">
        <w:rPr>
          <w:color w:val="auto"/>
        </w:rPr>
        <w:t>.</w:t>
      </w:r>
    </w:p>
    <w:p w14:paraId="00692D38" w14:textId="3052CE91" w:rsidR="003B1DA5" w:rsidRPr="001F785C" w:rsidRDefault="003B1DA5" w:rsidP="003B1DA5">
      <w:pPr>
        <w:rPr>
          <w:color w:val="auto"/>
        </w:rPr>
      </w:pPr>
      <w:r w:rsidRPr="003B1DA5">
        <w:rPr>
          <w:b/>
          <w:bCs/>
          <w:color w:val="auto"/>
        </w:rPr>
        <w:t xml:space="preserve">Governing Body Performance </w:t>
      </w:r>
      <w:r w:rsidR="001F785C" w:rsidRPr="001F785C">
        <w:rPr>
          <w:color w:val="auto"/>
        </w:rPr>
        <w:t xml:space="preserve">matters considered included: </w:t>
      </w:r>
    </w:p>
    <w:p w14:paraId="1739CB4F" w14:textId="70C113F9" w:rsidR="00780C5F" w:rsidRDefault="00780C5F" w:rsidP="00780C5F">
      <w:pPr>
        <w:rPr>
          <w:color w:val="auto"/>
        </w:rPr>
      </w:pPr>
      <w:r w:rsidRPr="00780C5F">
        <w:rPr>
          <w:b/>
          <w:bCs/>
          <w:color w:val="auto"/>
        </w:rPr>
        <w:lastRenderedPageBreak/>
        <w:t xml:space="preserve">Chubb Review </w:t>
      </w:r>
      <w:r>
        <w:rPr>
          <w:b/>
          <w:bCs/>
          <w:color w:val="auto"/>
        </w:rPr>
        <w:t xml:space="preserve">2025 </w:t>
      </w:r>
      <w:r w:rsidRPr="00780C5F">
        <w:rPr>
          <w:b/>
          <w:bCs/>
          <w:color w:val="auto"/>
        </w:rPr>
        <w:t>Update</w:t>
      </w:r>
      <w:r>
        <w:rPr>
          <w:color w:val="auto"/>
        </w:rPr>
        <w:t xml:space="preserve">: Council considered </w:t>
      </w:r>
      <w:r w:rsidR="00650C6C">
        <w:rPr>
          <w:color w:val="auto"/>
        </w:rPr>
        <w:t xml:space="preserve">the </w:t>
      </w:r>
      <w:r>
        <w:rPr>
          <w:color w:val="auto"/>
        </w:rPr>
        <w:t xml:space="preserve">further progress made </w:t>
      </w:r>
      <w:r w:rsidR="00650C6C">
        <w:rPr>
          <w:color w:val="auto"/>
        </w:rPr>
        <w:t xml:space="preserve">and agreed to close nine recommendations which had been met. </w:t>
      </w:r>
    </w:p>
    <w:p w14:paraId="66955E99" w14:textId="0804F114" w:rsidR="003F1973" w:rsidRPr="003F1973" w:rsidRDefault="003F1973" w:rsidP="003F1973">
      <w:pPr>
        <w:rPr>
          <w:color w:val="auto"/>
        </w:rPr>
      </w:pPr>
      <w:r w:rsidRPr="003F1973">
        <w:rPr>
          <w:b/>
          <w:bCs/>
          <w:color w:val="auto"/>
        </w:rPr>
        <w:t>Expert Council on University Governance Principles</w:t>
      </w:r>
      <w:r>
        <w:rPr>
          <w:b/>
          <w:bCs/>
          <w:color w:val="auto"/>
        </w:rPr>
        <w:t xml:space="preserve">: </w:t>
      </w:r>
      <w:r w:rsidRPr="003F1973">
        <w:rPr>
          <w:color w:val="auto"/>
        </w:rPr>
        <w:t xml:space="preserve">Council </w:t>
      </w:r>
      <w:r>
        <w:rPr>
          <w:color w:val="auto"/>
        </w:rPr>
        <w:t>considered a Gap Analysis on UC’s compliance position with the</w:t>
      </w:r>
      <w:r w:rsidR="005C6C05">
        <w:rPr>
          <w:color w:val="auto"/>
        </w:rPr>
        <w:t xml:space="preserve"> new</w:t>
      </w:r>
      <w:r>
        <w:rPr>
          <w:color w:val="auto"/>
        </w:rPr>
        <w:t xml:space="preserve"> </w:t>
      </w:r>
      <w:r>
        <w:rPr>
          <w:i/>
          <w:iCs/>
          <w:color w:val="auto"/>
        </w:rPr>
        <w:t xml:space="preserve">Principles, </w:t>
      </w:r>
      <w:r>
        <w:rPr>
          <w:color w:val="auto"/>
        </w:rPr>
        <w:t xml:space="preserve">which are expected to be implemented later in 2026 </w:t>
      </w:r>
      <w:r w:rsidR="005C6C05">
        <w:rPr>
          <w:color w:val="auto"/>
        </w:rPr>
        <w:t xml:space="preserve">and </w:t>
      </w:r>
      <w:r w:rsidRPr="003F1973">
        <w:rPr>
          <w:color w:val="auto"/>
        </w:rPr>
        <w:t>monitored and evaluated by TEQSA</w:t>
      </w:r>
      <w:r w:rsidR="005C3BDF">
        <w:rPr>
          <w:color w:val="auto"/>
        </w:rPr>
        <w:t xml:space="preserve">. </w:t>
      </w:r>
      <w:r>
        <w:rPr>
          <w:color w:val="auto"/>
        </w:rPr>
        <w:t xml:space="preserve">UC is fully compliant with over 80%, partially compliant </w:t>
      </w:r>
      <w:r w:rsidRPr="003F1973">
        <w:rPr>
          <w:color w:val="auto"/>
        </w:rPr>
        <w:t xml:space="preserve">or in-progress to comply with 13%, and non-compliant with 3 (3.3.%). </w:t>
      </w:r>
      <w:r>
        <w:rPr>
          <w:color w:val="auto"/>
        </w:rPr>
        <w:t xml:space="preserve">Work will progress to </w:t>
      </w:r>
      <w:r w:rsidR="005C6C05">
        <w:rPr>
          <w:color w:val="auto"/>
        </w:rPr>
        <w:t xml:space="preserve">align with all the new Principles. </w:t>
      </w:r>
    </w:p>
    <w:p w14:paraId="7F2925FB" w14:textId="671024E7" w:rsidR="00A0185F" w:rsidRPr="005C3BDF" w:rsidRDefault="003F1973" w:rsidP="003F1973">
      <w:pPr>
        <w:rPr>
          <w:color w:val="auto"/>
        </w:rPr>
      </w:pPr>
      <w:r w:rsidRPr="003F1973">
        <w:rPr>
          <w:b/>
          <w:bCs/>
          <w:color w:val="auto"/>
        </w:rPr>
        <w:t>Gender-based Violence</w:t>
      </w:r>
      <w:r w:rsidR="005C3BDF">
        <w:rPr>
          <w:b/>
          <w:bCs/>
          <w:color w:val="auto"/>
        </w:rPr>
        <w:t xml:space="preserve"> (GBV)</w:t>
      </w:r>
      <w:r w:rsidRPr="003F1973">
        <w:rPr>
          <w:b/>
          <w:bCs/>
          <w:color w:val="auto"/>
        </w:rPr>
        <w:t>:</w:t>
      </w:r>
      <w:r w:rsidR="005C3BDF" w:rsidRPr="005C3BDF">
        <w:t xml:space="preserve"> </w:t>
      </w:r>
      <w:r w:rsidR="005C3BDF" w:rsidRPr="005C3BDF">
        <w:rPr>
          <w:color w:val="auto"/>
        </w:rPr>
        <w:t>In accordance with the National Higher Education Code to Prevent and Respond to Gender</w:t>
      </w:r>
      <w:r w:rsidR="005C3BDF" w:rsidRPr="005C3BDF">
        <w:rPr>
          <w:rFonts w:ascii="Cambria Math" w:hAnsi="Cambria Math" w:cs="Cambria Math"/>
          <w:color w:val="auto"/>
        </w:rPr>
        <w:t>‑</w:t>
      </w:r>
      <w:r w:rsidR="005C3BDF" w:rsidRPr="005C3BDF">
        <w:rPr>
          <w:color w:val="auto"/>
        </w:rPr>
        <w:t>based Violence (the Code)</w:t>
      </w:r>
      <w:r w:rsidR="005C3BDF">
        <w:rPr>
          <w:color w:val="auto"/>
        </w:rPr>
        <w:t xml:space="preserve">, </w:t>
      </w:r>
      <w:r w:rsidR="005C3BDF" w:rsidRPr="005C3BDF">
        <w:rPr>
          <w:color w:val="auto"/>
        </w:rPr>
        <w:t xml:space="preserve">Council </w:t>
      </w:r>
      <w:r w:rsidR="005C3BDF">
        <w:rPr>
          <w:color w:val="auto"/>
        </w:rPr>
        <w:t>agreed in December 2025 to</w:t>
      </w:r>
      <w:r w:rsidR="005C3BDF" w:rsidRPr="005C3BDF">
        <w:rPr>
          <w:color w:val="auto"/>
        </w:rPr>
        <w:t xml:space="preserve"> establish</w:t>
      </w:r>
      <w:r w:rsidR="005C3BDF">
        <w:rPr>
          <w:color w:val="auto"/>
        </w:rPr>
        <w:t xml:space="preserve"> </w:t>
      </w:r>
      <w:r w:rsidR="005C3BDF" w:rsidRPr="005C3BDF">
        <w:rPr>
          <w:color w:val="auto"/>
        </w:rPr>
        <w:t>a GBV Subcommittee to ensure governing</w:t>
      </w:r>
      <w:r w:rsidR="005C3BDF">
        <w:rPr>
          <w:rFonts w:ascii="Cambria Math" w:hAnsi="Cambria Math" w:cs="Cambria Math"/>
          <w:color w:val="auto"/>
        </w:rPr>
        <w:t xml:space="preserve"> </w:t>
      </w:r>
      <w:r w:rsidR="005C3BDF" w:rsidRPr="005C3BDF">
        <w:rPr>
          <w:color w:val="auto"/>
        </w:rPr>
        <w:t>body oversight of UC</w:t>
      </w:r>
      <w:r w:rsidR="005C3BDF" w:rsidRPr="005C3BDF">
        <w:rPr>
          <w:rFonts w:ascii="Calibri" w:hAnsi="Calibri" w:cs="Calibri"/>
          <w:color w:val="auto"/>
        </w:rPr>
        <w:t>’</w:t>
      </w:r>
      <w:r w:rsidR="005C3BDF" w:rsidRPr="005C3BDF">
        <w:rPr>
          <w:color w:val="auto"/>
        </w:rPr>
        <w:t>s obligations under the Code and UC</w:t>
      </w:r>
      <w:r w:rsidR="005C3BDF" w:rsidRPr="005C3BDF">
        <w:rPr>
          <w:rFonts w:ascii="Calibri" w:hAnsi="Calibri" w:cs="Calibri"/>
          <w:color w:val="auto"/>
        </w:rPr>
        <w:t>’</w:t>
      </w:r>
      <w:r w:rsidR="005C3BDF" w:rsidRPr="005C3BDF">
        <w:rPr>
          <w:color w:val="auto"/>
        </w:rPr>
        <w:t>s GBV Action Plan</w:t>
      </w:r>
      <w:r w:rsidR="005C3BDF">
        <w:rPr>
          <w:color w:val="auto"/>
        </w:rPr>
        <w:t>.</w:t>
      </w:r>
      <w:r w:rsidR="005C3BDF" w:rsidRPr="005C3BDF">
        <w:rPr>
          <w:color w:val="auto"/>
        </w:rPr>
        <w:t xml:space="preserve"> </w:t>
      </w:r>
      <w:r w:rsidR="005C3BDF">
        <w:rPr>
          <w:color w:val="auto"/>
        </w:rPr>
        <w:t xml:space="preserve">Council have now approved the GBV Committee as a subcommittee of ARMC, approved its Charter, approved the membership including Ms Anne-Marie Lansdown as Chair, and GBV expert, Ms Renee Hamilton, as an external member. </w:t>
      </w:r>
      <w:r w:rsidR="00594BA4" w:rsidRPr="005C3BDF">
        <w:rPr>
          <w:color w:val="auto"/>
        </w:rPr>
        <w:t xml:space="preserve"> </w:t>
      </w:r>
    </w:p>
    <w:p w14:paraId="77CE759E" w14:textId="77777777" w:rsidR="001F785C" w:rsidRPr="001F785C" w:rsidRDefault="001F785C" w:rsidP="002F2C61">
      <w:pPr>
        <w:rPr>
          <w:color w:val="auto"/>
        </w:rPr>
      </w:pPr>
      <w:r w:rsidRPr="001F785C">
        <w:rPr>
          <w:color w:val="auto"/>
        </w:rPr>
        <w:t xml:space="preserve">Member and committee reports included: </w:t>
      </w:r>
    </w:p>
    <w:p w14:paraId="66D4CCD7" w14:textId="2BBC7482" w:rsidR="002776F6" w:rsidRDefault="002776F6" w:rsidP="002F2C61">
      <w:pPr>
        <w:rPr>
          <w:color w:val="auto"/>
        </w:rPr>
      </w:pPr>
      <w:r w:rsidRPr="002776F6">
        <w:rPr>
          <w:b/>
          <w:bCs/>
          <w:color w:val="auto"/>
        </w:rPr>
        <w:t>The</w:t>
      </w:r>
      <w:r>
        <w:rPr>
          <w:color w:val="auto"/>
        </w:rPr>
        <w:t xml:space="preserve"> </w:t>
      </w:r>
      <w:r w:rsidRPr="002776F6">
        <w:rPr>
          <w:b/>
          <w:bCs/>
          <w:color w:val="auto"/>
        </w:rPr>
        <w:t>SRC</w:t>
      </w:r>
      <w:r w:rsidR="005C3BDF">
        <w:rPr>
          <w:b/>
          <w:bCs/>
          <w:color w:val="auto"/>
        </w:rPr>
        <w:t xml:space="preserve"> R</w:t>
      </w:r>
      <w:r w:rsidRPr="002776F6">
        <w:rPr>
          <w:b/>
          <w:bCs/>
          <w:color w:val="auto"/>
        </w:rPr>
        <w:t>eport</w:t>
      </w:r>
      <w:r>
        <w:rPr>
          <w:b/>
          <w:bCs/>
          <w:color w:val="auto"/>
        </w:rPr>
        <w:t xml:space="preserve"> </w:t>
      </w:r>
      <w:r w:rsidR="005C3BDF">
        <w:rPr>
          <w:color w:val="auto"/>
        </w:rPr>
        <w:t>advised UC</w:t>
      </w:r>
      <w:r w:rsidRPr="002776F6">
        <w:rPr>
          <w:color w:val="auto"/>
        </w:rPr>
        <w:t xml:space="preserve"> </w:t>
      </w:r>
      <w:r w:rsidR="005C3BDF" w:rsidRPr="005C3BDF">
        <w:rPr>
          <w:color w:val="auto"/>
        </w:rPr>
        <w:t>has been selected to host the S</w:t>
      </w:r>
      <w:r w:rsidR="005C3BDF">
        <w:rPr>
          <w:color w:val="auto"/>
        </w:rPr>
        <w:t xml:space="preserve">tudent Voice Australia </w:t>
      </w:r>
      <w:r w:rsidR="005C3BDF" w:rsidRPr="005C3BDF">
        <w:rPr>
          <w:color w:val="auto"/>
        </w:rPr>
        <w:t>Conference in October, with approximately 40 institutions expected to participate</w:t>
      </w:r>
      <w:r w:rsidR="005C3BDF">
        <w:rPr>
          <w:color w:val="auto"/>
        </w:rPr>
        <w:t>. They</w:t>
      </w:r>
      <w:r w:rsidR="00457F9E">
        <w:rPr>
          <w:color w:val="auto"/>
        </w:rPr>
        <w:t xml:space="preserve"> also</w:t>
      </w:r>
      <w:r w:rsidR="005C3BDF">
        <w:rPr>
          <w:color w:val="auto"/>
        </w:rPr>
        <w:t xml:space="preserve"> reported </w:t>
      </w:r>
      <w:r w:rsidR="005C3BDF" w:rsidRPr="005C3BDF">
        <w:rPr>
          <w:color w:val="auto"/>
        </w:rPr>
        <w:t>ongoing concerns regarding the student visa framework, noting that unpaid internship hours reduce</w:t>
      </w:r>
      <w:r w:rsidR="00457F9E">
        <w:rPr>
          <w:color w:val="auto"/>
        </w:rPr>
        <w:t xml:space="preserve"> students’</w:t>
      </w:r>
      <w:r w:rsidR="005C3BDF" w:rsidRPr="005C3BDF">
        <w:rPr>
          <w:color w:val="auto"/>
        </w:rPr>
        <w:t xml:space="preserve"> paid work hours</w:t>
      </w:r>
      <w:r w:rsidR="00457F9E">
        <w:rPr>
          <w:color w:val="auto"/>
        </w:rPr>
        <w:t xml:space="preserve">. A response from </w:t>
      </w:r>
      <w:r w:rsidR="005C3BDF" w:rsidRPr="005C3BDF">
        <w:rPr>
          <w:color w:val="auto"/>
        </w:rPr>
        <w:t xml:space="preserve">Minister Julian Hill </w:t>
      </w:r>
      <w:r w:rsidR="00457F9E">
        <w:rPr>
          <w:color w:val="auto"/>
        </w:rPr>
        <w:t xml:space="preserve">was unsatisfactory and the SRC will provide a further response to be endorsed by the </w:t>
      </w:r>
      <w:proofErr w:type="gramStart"/>
      <w:r w:rsidR="00457F9E">
        <w:rPr>
          <w:color w:val="auto"/>
        </w:rPr>
        <w:t>VC, and</w:t>
      </w:r>
      <w:proofErr w:type="gramEnd"/>
      <w:r w:rsidR="00457F9E">
        <w:rPr>
          <w:color w:val="auto"/>
        </w:rPr>
        <w:t xml:space="preserve"> will seek a meeting with the National Union of Students and the Minister. </w:t>
      </w:r>
    </w:p>
    <w:p w14:paraId="2D2B3F02" w14:textId="16F94E64" w:rsidR="009862D2" w:rsidRPr="00457F9E" w:rsidRDefault="00457F9E" w:rsidP="00A46457">
      <w:pPr>
        <w:rPr>
          <w:color w:val="auto"/>
        </w:rPr>
      </w:pPr>
      <w:r>
        <w:rPr>
          <w:b/>
          <w:bCs/>
          <w:color w:val="auto"/>
        </w:rPr>
        <w:t xml:space="preserve">The </w:t>
      </w:r>
      <w:r w:rsidR="00276427" w:rsidRPr="00276427">
        <w:rPr>
          <w:b/>
          <w:bCs/>
          <w:color w:val="auto"/>
        </w:rPr>
        <w:t xml:space="preserve">Academic </w:t>
      </w:r>
      <w:r w:rsidR="002776F6">
        <w:rPr>
          <w:b/>
          <w:bCs/>
          <w:color w:val="auto"/>
        </w:rPr>
        <w:t xml:space="preserve">Board </w:t>
      </w:r>
      <w:r w:rsidRPr="00457F9E">
        <w:rPr>
          <w:color w:val="auto"/>
        </w:rPr>
        <w:t xml:space="preserve">has </w:t>
      </w:r>
      <w:r>
        <w:rPr>
          <w:color w:val="auto"/>
        </w:rPr>
        <w:t xml:space="preserve">reviewed </w:t>
      </w:r>
      <w:r w:rsidRPr="00457F9E">
        <w:rPr>
          <w:color w:val="auto"/>
        </w:rPr>
        <w:t>the annual Student Experience and Outcomes Reports</w:t>
      </w:r>
      <w:r>
        <w:rPr>
          <w:color w:val="auto"/>
        </w:rPr>
        <w:t xml:space="preserve"> outlining faculty-level performance; reviewed the draft Risk Appetite Statement; and approved the closure of the final two recommendations </w:t>
      </w:r>
      <w:r w:rsidR="00350B54">
        <w:rPr>
          <w:color w:val="auto"/>
        </w:rPr>
        <w:t xml:space="preserve">of </w:t>
      </w:r>
      <w:r w:rsidR="00350B54" w:rsidRPr="00457F9E">
        <w:rPr>
          <w:color w:val="auto"/>
        </w:rPr>
        <w:t>the 2020 External Review of Academic Governance</w:t>
      </w:r>
      <w:r w:rsidR="00350B54">
        <w:rPr>
          <w:color w:val="auto"/>
        </w:rPr>
        <w:t xml:space="preserve"> regarding</w:t>
      </w:r>
      <w:r>
        <w:rPr>
          <w:color w:val="auto"/>
        </w:rPr>
        <w:t xml:space="preserve"> risk oversight.</w:t>
      </w:r>
    </w:p>
    <w:p w14:paraId="2B545AD3" w14:textId="0DBF5968" w:rsidR="00BC74DB" w:rsidRDefault="00BC74DB" w:rsidP="00A46457">
      <w:pPr>
        <w:rPr>
          <w:color w:val="auto"/>
        </w:rPr>
      </w:pPr>
      <w:r w:rsidRPr="00350B54">
        <w:rPr>
          <w:b/>
          <w:bCs/>
          <w:color w:val="auto"/>
        </w:rPr>
        <w:t>Student Recruitment and Marketing</w:t>
      </w:r>
      <w:r w:rsidR="00350B54">
        <w:rPr>
          <w:b/>
          <w:bCs/>
          <w:color w:val="auto"/>
        </w:rPr>
        <w:t xml:space="preserve">: </w:t>
      </w:r>
      <w:r w:rsidR="00350B54" w:rsidRPr="00350B54">
        <w:rPr>
          <w:color w:val="auto"/>
        </w:rPr>
        <w:t>The</w:t>
      </w:r>
      <w:r w:rsidR="00350B54">
        <w:rPr>
          <w:b/>
          <w:bCs/>
          <w:color w:val="auto"/>
        </w:rPr>
        <w:t xml:space="preserve"> </w:t>
      </w:r>
      <w:r w:rsidR="00350B54" w:rsidRPr="00350B54">
        <w:rPr>
          <w:color w:val="auto"/>
        </w:rPr>
        <w:t>Director</w:t>
      </w:r>
      <w:r w:rsidR="00350B54">
        <w:rPr>
          <w:color w:val="auto"/>
        </w:rPr>
        <w:t xml:space="preserve">, </w:t>
      </w:r>
      <w:r w:rsidR="00350B54" w:rsidRPr="00350B54">
        <w:rPr>
          <w:color w:val="auto"/>
        </w:rPr>
        <w:t xml:space="preserve">Student Recruitment &amp; Marketing </w:t>
      </w:r>
      <w:r w:rsidR="00350B54">
        <w:rPr>
          <w:color w:val="auto"/>
        </w:rPr>
        <w:t>presented to Council on m</w:t>
      </w:r>
      <w:r w:rsidR="00350B54" w:rsidRPr="00350B54">
        <w:rPr>
          <w:color w:val="auto"/>
        </w:rPr>
        <w:t xml:space="preserve">arketing, </w:t>
      </w:r>
      <w:r w:rsidR="00350B54">
        <w:rPr>
          <w:color w:val="auto"/>
        </w:rPr>
        <w:t>r</w:t>
      </w:r>
      <w:r w:rsidR="00350B54" w:rsidRPr="00350B54">
        <w:rPr>
          <w:color w:val="auto"/>
        </w:rPr>
        <w:t xml:space="preserve">ecruitment and </w:t>
      </w:r>
      <w:r w:rsidR="00350B54">
        <w:rPr>
          <w:color w:val="auto"/>
        </w:rPr>
        <w:t>a</w:t>
      </w:r>
      <w:r w:rsidR="00350B54" w:rsidRPr="00350B54">
        <w:rPr>
          <w:color w:val="auto"/>
        </w:rPr>
        <w:t>dmissions, including a deep dive into UC’s conversion performance and benchmarking against comparable universities</w:t>
      </w:r>
      <w:r w:rsidR="00350B54">
        <w:rPr>
          <w:color w:val="auto"/>
        </w:rPr>
        <w:t xml:space="preserve">. The refreshed University brand strategy was also outlined. </w:t>
      </w:r>
    </w:p>
    <w:p w14:paraId="12F0E1C6" w14:textId="49201932" w:rsidR="00A46457" w:rsidRDefault="00A46457" w:rsidP="00A46457">
      <w:r w:rsidRPr="006C1A2C">
        <w:rPr>
          <w:color w:val="auto"/>
        </w:rPr>
        <w:t xml:space="preserve">The resolutions </w:t>
      </w:r>
      <w:r w:rsidR="00134920" w:rsidRPr="006C1A2C">
        <w:rPr>
          <w:color w:val="auto"/>
        </w:rPr>
        <w:t>passed</w:t>
      </w:r>
      <w:r w:rsidRPr="006C1A2C">
        <w:rPr>
          <w:color w:val="auto"/>
        </w:rPr>
        <w:t xml:space="preserve"> during the </w:t>
      </w:r>
      <w:r w:rsidR="009F2BFE">
        <w:rPr>
          <w:color w:val="auto"/>
        </w:rPr>
        <w:t xml:space="preserve">open session of the </w:t>
      </w:r>
      <w:r w:rsidRPr="006C1A2C">
        <w:rPr>
          <w:color w:val="auto"/>
        </w:rPr>
        <w:t xml:space="preserve">meeting follow.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81"/>
        <w:gridCol w:w="3707"/>
        <w:gridCol w:w="938"/>
        <w:gridCol w:w="4575"/>
      </w:tblGrid>
      <w:tr w:rsidR="00A46457" w:rsidRPr="004C06EB" w14:paraId="47C17A64" w14:textId="77777777" w:rsidTr="00A46457">
        <w:trPr>
          <w:trHeight w:val="505"/>
        </w:trPr>
        <w:tc>
          <w:tcPr>
            <w:tcW w:w="4688" w:type="dxa"/>
            <w:gridSpan w:val="2"/>
            <w:shd w:val="clear" w:color="auto" w:fill="E8F6F9" w:themeFill="accent3" w:themeFillTint="33"/>
          </w:tcPr>
          <w:p w14:paraId="3F6702FA" w14:textId="77777777" w:rsidR="00A46457" w:rsidRPr="004C06EB" w:rsidRDefault="00A46457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bCs/>
                <w:color w:val="005366" w:themeColor="accent1" w:themeShade="7F"/>
                <w:sz w:val="24"/>
                <w:szCs w:val="24"/>
                <w:lang w:val="en-US" w:eastAsia="en-AU"/>
              </w:rPr>
            </w:pPr>
            <w:r w:rsidRPr="004C06EB">
              <w:rPr>
                <w:rFonts w:asciiTheme="majorHAnsi" w:eastAsiaTheme="majorEastAsia" w:hAnsiTheme="majorHAnsi" w:cstheme="majorBidi"/>
                <w:b/>
                <w:bCs/>
                <w:color w:val="005366" w:themeColor="accent1" w:themeShade="7F"/>
                <w:sz w:val="24"/>
                <w:szCs w:val="24"/>
                <w:lang w:val="en-US" w:eastAsia="en-AU"/>
              </w:rPr>
              <w:t>Prepared by:</w:t>
            </w:r>
          </w:p>
        </w:tc>
        <w:tc>
          <w:tcPr>
            <w:tcW w:w="5513" w:type="dxa"/>
            <w:gridSpan w:val="2"/>
            <w:shd w:val="clear" w:color="auto" w:fill="E8F6F9" w:themeFill="accent3" w:themeFillTint="33"/>
          </w:tcPr>
          <w:p w14:paraId="6DEA1200" w14:textId="77777777" w:rsidR="00A46457" w:rsidRPr="004C06EB" w:rsidRDefault="00A46457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bCs/>
                <w:color w:val="005366" w:themeColor="accent1" w:themeShade="7F"/>
                <w:sz w:val="24"/>
                <w:szCs w:val="24"/>
                <w:lang w:val="en-US" w:eastAsia="en-AU"/>
              </w:rPr>
            </w:pPr>
            <w:r w:rsidRPr="004C06EB">
              <w:rPr>
                <w:rFonts w:asciiTheme="majorHAnsi" w:eastAsiaTheme="majorEastAsia" w:hAnsiTheme="majorHAnsi" w:cstheme="majorBidi"/>
                <w:b/>
                <w:bCs/>
                <w:color w:val="005366" w:themeColor="accent1" w:themeShade="7F"/>
                <w:sz w:val="24"/>
                <w:szCs w:val="24"/>
                <w:lang w:val="en-US" w:eastAsia="en-AU"/>
              </w:rPr>
              <w:t>Submitted by:</w:t>
            </w:r>
          </w:p>
        </w:tc>
      </w:tr>
      <w:tr w:rsidR="00A46457" w:rsidRPr="004C06EB" w14:paraId="6415F1E2" w14:textId="77777777" w:rsidTr="00A46457">
        <w:tc>
          <w:tcPr>
            <w:tcW w:w="981" w:type="dxa"/>
          </w:tcPr>
          <w:p w14:paraId="648139D9" w14:textId="77777777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Name</w:t>
            </w:r>
          </w:p>
        </w:tc>
        <w:tc>
          <w:tcPr>
            <w:tcW w:w="3707" w:type="dxa"/>
          </w:tcPr>
          <w:p w14:paraId="4C952CC6" w14:textId="15DA853F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Stephanie Payne</w:t>
            </w:r>
          </w:p>
        </w:tc>
        <w:tc>
          <w:tcPr>
            <w:tcW w:w="938" w:type="dxa"/>
          </w:tcPr>
          <w:p w14:paraId="11E373D6" w14:textId="77777777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Name</w:t>
            </w:r>
          </w:p>
        </w:tc>
        <w:tc>
          <w:tcPr>
            <w:tcW w:w="4575" w:type="dxa"/>
          </w:tcPr>
          <w:p w14:paraId="5DDF8C4B" w14:textId="0AE02125" w:rsidR="00A46457" w:rsidRPr="006C1A2C" w:rsidRDefault="00DD2985">
            <w:pPr>
              <w:rPr>
                <w:color w:val="auto"/>
              </w:rPr>
            </w:pPr>
            <w:r>
              <w:rPr>
                <w:color w:val="auto"/>
              </w:rPr>
              <w:t>Lisa Paul AO PSM</w:t>
            </w:r>
          </w:p>
        </w:tc>
      </w:tr>
      <w:tr w:rsidR="00A46457" w:rsidRPr="004C06EB" w14:paraId="6CC1F9DE" w14:textId="77777777" w:rsidTr="00A46457">
        <w:tc>
          <w:tcPr>
            <w:tcW w:w="981" w:type="dxa"/>
          </w:tcPr>
          <w:p w14:paraId="38ED66BC" w14:textId="77777777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Position</w:t>
            </w:r>
          </w:p>
        </w:tc>
        <w:tc>
          <w:tcPr>
            <w:tcW w:w="3707" w:type="dxa"/>
          </w:tcPr>
          <w:p w14:paraId="068B08E7" w14:textId="514073C1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University Secretary</w:t>
            </w:r>
          </w:p>
        </w:tc>
        <w:tc>
          <w:tcPr>
            <w:tcW w:w="938" w:type="dxa"/>
          </w:tcPr>
          <w:p w14:paraId="1EE127CA" w14:textId="77777777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Position</w:t>
            </w:r>
          </w:p>
        </w:tc>
        <w:tc>
          <w:tcPr>
            <w:tcW w:w="4575" w:type="dxa"/>
          </w:tcPr>
          <w:p w14:paraId="3EC027C1" w14:textId="53642CC8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Chancellor</w:t>
            </w:r>
          </w:p>
        </w:tc>
      </w:tr>
      <w:tr w:rsidR="00A46457" w:rsidRPr="004C06EB" w14:paraId="5E88A0F7" w14:textId="77777777" w:rsidTr="00A46457">
        <w:trPr>
          <w:trHeight w:val="389"/>
        </w:trPr>
        <w:tc>
          <w:tcPr>
            <w:tcW w:w="981" w:type="dxa"/>
          </w:tcPr>
          <w:p w14:paraId="689BA2EC" w14:textId="77777777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Date</w:t>
            </w:r>
          </w:p>
        </w:tc>
        <w:tc>
          <w:tcPr>
            <w:tcW w:w="3707" w:type="dxa"/>
          </w:tcPr>
          <w:p w14:paraId="35C61984" w14:textId="2BA661AF" w:rsidR="00A46457" w:rsidRPr="006C1A2C" w:rsidRDefault="00DD2985">
            <w:pPr>
              <w:rPr>
                <w:color w:val="auto"/>
              </w:rPr>
            </w:pPr>
            <w:r>
              <w:rPr>
                <w:color w:val="auto"/>
              </w:rPr>
              <w:t>March 2026</w:t>
            </w:r>
          </w:p>
        </w:tc>
        <w:tc>
          <w:tcPr>
            <w:tcW w:w="938" w:type="dxa"/>
          </w:tcPr>
          <w:p w14:paraId="0BCDB85F" w14:textId="77777777" w:rsidR="00A46457" w:rsidRPr="006C1A2C" w:rsidRDefault="00A46457">
            <w:pPr>
              <w:rPr>
                <w:color w:val="auto"/>
              </w:rPr>
            </w:pPr>
            <w:r w:rsidRPr="006C1A2C">
              <w:rPr>
                <w:color w:val="auto"/>
              </w:rPr>
              <w:t>Date</w:t>
            </w:r>
          </w:p>
        </w:tc>
        <w:tc>
          <w:tcPr>
            <w:tcW w:w="4575" w:type="dxa"/>
          </w:tcPr>
          <w:p w14:paraId="6E26B8B3" w14:textId="49CC276C" w:rsidR="00A46457" w:rsidRPr="006C1A2C" w:rsidRDefault="00DD2985">
            <w:pPr>
              <w:rPr>
                <w:color w:val="auto"/>
              </w:rPr>
            </w:pPr>
            <w:r>
              <w:rPr>
                <w:color w:val="auto"/>
              </w:rPr>
              <w:t>March 2026</w:t>
            </w:r>
          </w:p>
        </w:tc>
      </w:tr>
    </w:tbl>
    <w:p w14:paraId="691427E3" w14:textId="77777777" w:rsidR="00A46457" w:rsidRDefault="00A46457" w:rsidP="00A46457"/>
    <w:p w14:paraId="55DBE16A" w14:textId="3B8FCAAB" w:rsidR="00512878" w:rsidRDefault="00A46457" w:rsidP="00ED4136">
      <w:pPr>
        <w:pStyle w:val="Heading2"/>
      </w:pPr>
      <w:r w:rsidRPr="00A46457">
        <w:t>Council Resolutions C2</w:t>
      </w:r>
      <w:r w:rsidR="007F0D59">
        <w:t>6</w:t>
      </w:r>
      <w:r w:rsidR="00DD2985">
        <w:t>1</w:t>
      </w:r>
      <w:r w:rsidRPr="00A46457">
        <w:t xml:space="preserve">, </w:t>
      </w:r>
      <w:r w:rsidR="00DD2985">
        <w:t>12 March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0C358A" w14:paraId="78ADC143" w14:textId="77777777" w:rsidTr="00A46457">
        <w:tc>
          <w:tcPr>
            <w:tcW w:w="2263" w:type="dxa"/>
          </w:tcPr>
          <w:p w14:paraId="36AC447C" w14:textId="3B0EF729" w:rsidR="000C358A" w:rsidRPr="006C1A2C" w:rsidRDefault="000C358A" w:rsidP="000C358A">
            <w:pPr>
              <w:rPr>
                <w:color w:val="auto"/>
              </w:rPr>
            </w:pPr>
            <w:r w:rsidRPr="00421AE9">
              <w:rPr>
                <w:color w:val="auto"/>
              </w:rPr>
              <w:t>RESOLUTION C2</w:t>
            </w:r>
            <w:r w:rsidR="007F0D59">
              <w:rPr>
                <w:color w:val="auto"/>
              </w:rPr>
              <w:t>6</w:t>
            </w:r>
            <w:r w:rsidR="00DD2985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C14B65">
              <w:rPr>
                <w:color w:val="auto"/>
              </w:rPr>
              <w:t>10</w:t>
            </w:r>
          </w:p>
        </w:tc>
        <w:tc>
          <w:tcPr>
            <w:tcW w:w="7931" w:type="dxa"/>
          </w:tcPr>
          <w:p w14:paraId="05A5FBA2" w14:textId="77777777" w:rsidR="00C14B65" w:rsidRDefault="003210D7" w:rsidP="000C358A">
            <w:pPr>
              <w:rPr>
                <w:color w:val="auto"/>
              </w:rPr>
            </w:pPr>
            <w:r w:rsidRPr="003210D7">
              <w:rPr>
                <w:color w:val="auto"/>
              </w:rPr>
              <w:t>The Council resolved to confirm as a true and accurate record</w:t>
            </w:r>
            <w:r w:rsidR="00C14B65">
              <w:rPr>
                <w:color w:val="auto"/>
              </w:rPr>
              <w:t xml:space="preserve">: </w:t>
            </w:r>
          </w:p>
          <w:p w14:paraId="5BBFF0E1" w14:textId="77777777" w:rsidR="00C14B65" w:rsidRPr="00C14B65" w:rsidRDefault="00C14B65" w:rsidP="00C14B65">
            <w:pPr>
              <w:rPr>
                <w:color w:val="auto"/>
              </w:rPr>
            </w:pPr>
            <w:r w:rsidRPr="00C14B65">
              <w:rPr>
                <w:color w:val="auto"/>
              </w:rPr>
              <w:t>a)</w:t>
            </w:r>
            <w:r w:rsidRPr="00C14B65">
              <w:rPr>
                <w:color w:val="auto"/>
              </w:rPr>
              <w:tab/>
              <w:t>The Unconfirmed Minutes of C260 held on 11 December 2026</w:t>
            </w:r>
          </w:p>
          <w:p w14:paraId="09CC2B82" w14:textId="6D88D847" w:rsidR="000C358A" w:rsidRPr="000C358A" w:rsidRDefault="00C14B65" w:rsidP="00C14B65">
            <w:pPr>
              <w:rPr>
                <w:color w:val="auto"/>
              </w:rPr>
            </w:pPr>
            <w:r w:rsidRPr="00C14B65">
              <w:rPr>
                <w:color w:val="auto"/>
              </w:rPr>
              <w:t>b)</w:t>
            </w:r>
            <w:r w:rsidRPr="00C14B65">
              <w:rPr>
                <w:color w:val="auto"/>
              </w:rPr>
              <w:tab/>
              <w:t>Flying Minute C2026/FM1 as passed on 14 January 2026</w:t>
            </w:r>
          </w:p>
        </w:tc>
      </w:tr>
      <w:tr w:rsidR="000C358A" w14:paraId="5226DE75" w14:textId="77777777" w:rsidTr="00A46457">
        <w:tc>
          <w:tcPr>
            <w:tcW w:w="2263" w:type="dxa"/>
          </w:tcPr>
          <w:p w14:paraId="3CDC1988" w14:textId="27D8A928" w:rsidR="000C358A" w:rsidRPr="006C1A2C" w:rsidRDefault="000C358A" w:rsidP="000C358A">
            <w:pPr>
              <w:rPr>
                <w:color w:val="auto"/>
              </w:rPr>
            </w:pPr>
            <w:r w:rsidRPr="00421AE9">
              <w:rPr>
                <w:color w:val="auto"/>
              </w:rPr>
              <w:t xml:space="preserve">RESOLUTION </w:t>
            </w:r>
            <w:r w:rsidR="003210D7">
              <w:rPr>
                <w:color w:val="auto"/>
              </w:rPr>
              <w:t>C26</w:t>
            </w:r>
            <w:r w:rsidR="00C14B65">
              <w:rPr>
                <w:color w:val="auto"/>
              </w:rPr>
              <w:t>1/11</w:t>
            </w:r>
          </w:p>
        </w:tc>
        <w:tc>
          <w:tcPr>
            <w:tcW w:w="7931" w:type="dxa"/>
          </w:tcPr>
          <w:p w14:paraId="62CC495A" w14:textId="16690BE9" w:rsidR="000C358A" w:rsidRPr="006C1A2C" w:rsidRDefault="00C14B65" w:rsidP="000C358A">
            <w:pPr>
              <w:rPr>
                <w:color w:val="auto"/>
              </w:rPr>
            </w:pPr>
            <w:r w:rsidRPr="00C14B65">
              <w:rPr>
                <w:color w:val="auto"/>
              </w:rPr>
              <w:t>The Council resolved to adopt the resolutions of all items not starred in the C261 Agenda of 12 March 2026.</w:t>
            </w:r>
          </w:p>
        </w:tc>
      </w:tr>
      <w:tr w:rsidR="000C358A" w14:paraId="2AFDC52F" w14:textId="77777777" w:rsidTr="00A46457">
        <w:tc>
          <w:tcPr>
            <w:tcW w:w="2263" w:type="dxa"/>
          </w:tcPr>
          <w:p w14:paraId="38310366" w14:textId="50410EBA" w:rsidR="000C358A" w:rsidRPr="006C1A2C" w:rsidRDefault="000C358A" w:rsidP="000C358A">
            <w:pPr>
              <w:rPr>
                <w:color w:val="auto"/>
              </w:rPr>
            </w:pPr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C14B65">
              <w:rPr>
                <w:color w:val="auto"/>
              </w:rPr>
              <w:t>1/12</w:t>
            </w:r>
          </w:p>
        </w:tc>
        <w:tc>
          <w:tcPr>
            <w:tcW w:w="7931" w:type="dxa"/>
          </w:tcPr>
          <w:p w14:paraId="4B5C322D" w14:textId="23842FE8" w:rsidR="000C358A" w:rsidRPr="006C1A2C" w:rsidRDefault="000C358A" w:rsidP="000C358A">
            <w:pPr>
              <w:rPr>
                <w:color w:val="auto"/>
              </w:rPr>
            </w:pPr>
            <w:r w:rsidRPr="000C358A">
              <w:rPr>
                <w:color w:val="auto"/>
              </w:rPr>
              <w:t>The Council resolved to accept the Vice-Chancellor’s Report.</w:t>
            </w:r>
          </w:p>
        </w:tc>
      </w:tr>
      <w:tr w:rsidR="000C358A" w14:paraId="3E540EA6" w14:textId="77777777" w:rsidTr="00A46457">
        <w:tc>
          <w:tcPr>
            <w:tcW w:w="2263" w:type="dxa"/>
          </w:tcPr>
          <w:p w14:paraId="648277EF" w14:textId="2801D48D" w:rsidR="000C358A" w:rsidRPr="00A46457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C14B65">
              <w:rPr>
                <w:color w:val="auto"/>
              </w:rPr>
              <w:t>1/13</w:t>
            </w:r>
          </w:p>
        </w:tc>
        <w:tc>
          <w:tcPr>
            <w:tcW w:w="7931" w:type="dxa"/>
          </w:tcPr>
          <w:p w14:paraId="350A0CB8" w14:textId="3F6D4B16" w:rsidR="003210D7" w:rsidRPr="003210D7" w:rsidRDefault="003210D7" w:rsidP="003210D7">
            <w:pPr>
              <w:rPr>
                <w:color w:val="auto"/>
              </w:rPr>
            </w:pPr>
            <w:r w:rsidRPr="003210D7">
              <w:rPr>
                <w:color w:val="auto"/>
              </w:rPr>
              <w:t>The Council resolved to:</w:t>
            </w:r>
            <w:r w:rsidR="00C14B65">
              <w:rPr>
                <w:color w:val="auto"/>
              </w:rPr>
              <w:t xml:space="preserve">  </w:t>
            </w:r>
          </w:p>
          <w:p w14:paraId="4E12FAF5" w14:textId="77777777" w:rsidR="00874219" w:rsidRPr="00874219" w:rsidRDefault="00874219" w:rsidP="00874219">
            <w:pPr>
              <w:rPr>
                <w:color w:val="auto"/>
              </w:rPr>
            </w:pPr>
            <w:r w:rsidRPr="00874219">
              <w:rPr>
                <w:color w:val="auto"/>
              </w:rPr>
              <w:lastRenderedPageBreak/>
              <w:t>1.</w:t>
            </w:r>
            <w:r w:rsidRPr="00874219">
              <w:rPr>
                <w:color w:val="auto"/>
              </w:rPr>
              <w:tab/>
              <w:t xml:space="preserve">Approve UC to lodge an application to the Indian Government’s University Grants Commission (UGC) to establish a branch campus in India with partner ECA. </w:t>
            </w:r>
          </w:p>
          <w:p w14:paraId="49326D08" w14:textId="14C44A0E" w:rsidR="00874219" w:rsidRPr="00874219" w:rsidRDefault="00874219" w:rsidP="00874219">
            <w:pPr>
              <w:rPr>
                <w:color w:val="auto"/>
              </w:rPr>
            </w:pPr>
            <w:r w:rsidRPr="00874219">
              <w:rPr>
                <w:color w:val="auto"/>
              </w:rPr>
              <w:t>2.</w:t>
            </w:r>
            <w:r w:rsidRPr="00874219">
              <w:rPr>
                <w:color w:val="auto"/>
              </w:rPr>
              <w:tab/>
              <w:t>Note</w:t>
            </w:r>
            <w:r>
              <w:rPr>
                <w:color w:val="auto"/>
              </w:rPr>
              <w:t xml:space="preserve"> </w:t>
            </w:r>
            <w:r w:rsidRPr="00874219">
              <w:rPr>
                <w:color w:val="auto"/>
              </w:rPr>
              <w:t xml:space="preserve">the allocation of financial resources (estimated $300k AUD) to support external expert consultancy services, including legal, tax, compliance, risk and regulatory advisory, in the development of a full business case for the proposed UC branch campus in India following UGC outcome. Budget will be offset through savings identified across the relevant portfolios. </w:t>
            </w:r>
          </w:p>
          <w:p w14:paraId="7C40002F" w14:textId="25A94CB1" w:rsidR="000C358A" w:rsidRPr="000C358A" w:rsidRDefault="00874219" w:rsidP="00874219">
            <w:pPr>
              <w:rPr>
                <w:color w:val="auto"/>
              </w:rPr>
            </w:pPr>
            <w:r w:rsidRPr="00874219">
              <w:rPr>
                <w:color w:val="auto"/>
              </w:rPr>
              <w:t>3.</w:t>
            </w:r>
            <w:r w:rsidRPr="00874219">
              <w:rPr>
                <w:color w:val="auto"/>
              </w:rPr>
              <w:tab/>
              <w:t>Note alignment to the TNE Strategic Framework (initial assessment within Attachment A).</w:t>
            </w:r>
          </w:p>
        </w:tc>
      </w:tr>
      <w:tr w:rsidR="000C358A" w14:paraId="6A90051C" w14:textId="77777777" w:rsidTr="00A46457">
        <w:tc>
          <w:tcPr>
            <w:tcW w:w="2263" w:type="dxa"/>
          </w:tcPr>
          <w:p w14:paraId="39C2CEA5" w14:textId="48DB4DDC" w:rsidR="000C358A" w:rsidRPr="00A46457" w:rsidRDefault="000C358A" w:rsidP="000C358A">
            <w:r w:rsidRPr="00421AE9">
              <w:rPr>
                <w:color w:val="auto"/>
              </w:rPr>
              <w:lastRenderedPageBreak/>
              <w:t>RESOLUTION C2</w:t>
            </w:r>
            <w:r w:rsidR="003210D7">
              <w:rPr>
                <w:color w:val="auto"/>
              </w:rPr>
              <w:t>6</w:t>
            </w:r>
            <w:r w:rsidR="00C14B65">
              <w:rPr>
                <w:color w:val="auto"/>
              </w:rPr>
              <w:t>1/14</w:t>
            </w:r>
          </w:p>
        </w:tc>
        <w:tc>
          <w:tcPr>
            <w:tcW w:w="7931" w:type="dxa"/>
          </w:tcPr>
          <w:p w14:paraId="017E6FB4" w14:textId="665D69C9" w:rsidR="000C358A" w:rsidRPr="000C358A" w:rsidRDefault="00C14B65" w:rsidP="000C358A">
            <w:pPr>
              <w:rPr>
                <w:color w:val="auto"/>
              </w:rPr>
            </w:pPr>
            <w:r w:rsidRPr="00C14B65">
              <w:rPr>
                <w:color w:val="auto"/>
              </w:rPr>
              <w:t>The Council resolved to approve the changes to the University KPIs and proposed 2027-28 targets for Education KPIs and Research KPIs, excluding the proposed Research KPI ‘Total Awarded Research income’ pending further Academic Board review.</w:t>
            </w:r>
          </w:p>
        </w:tc>
      </w:tr>
      <w:tr w:rsidR="000C358A" w14:paraId="09DC27AF" w14:textId="77777777" w:rsidTr="00A46457">
        <w:tc>
          <w:tcPr>
            <w:tcW w:w="2263" w:type="dxa"/>
          </w:tcPr>
          <w:p w14:paraId="5E2B5B7F" w14:textId="59CF11BE" w:rsidR="000C358A" w:rsidRPr="00A46457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C14B65">
              <w:rPr>
                <w:color w:val="auto"/>
              </w:rPr>
              <w:t>1/15</w:t>
            </w:r>
          </w:p>
        </w:tc>
        <w:tc>
          <w:tcPr>
            <w:tcW w:w="7931" w:type="dxa"/>
          </w:tcPr>
          <w:p w14:paraId="4061FAB7" w14:textId="6E13BA00" w:rsidR="000C358A" w:rsidRPr="000C358A" w:rsidRDefault="00C14B65" w:rsidP="000C358A">
            <w:pPr>
              <w:rPr>
                <w:color w:val="auto"/>
              </w:rPr>
            </w:pPr>
            <w:r w:rsidRPr="00C14B65">
              <w:rPr>
                <w:color w:val="auto"/>
              </w:rPr>
              <w:t>The Council resolved to note the Block Model Teaching at UC report.</w:t>
            </w:r>
          </w:p>
        </w:tc>
      </w:tr>
      <w:tr w:rsidR="000C358A" w14:paraId="022BFEC6" w14:textId="77777777" w:rsidTr="00A46457">
        <w:tc>
          <w:tcPr>
            <w:tcW w:w="2263" w:type="dxa"/>
          </w:tcPr>
          <w:p w14:paraId="5DEB18F3" w14:textId="5758FE94" w:rsidR="000C358A" w:rsidRPr="00A46457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AB20B6">
              <w:rPr>
                <w:color w:val="auto"/>
              </w:rPr>
              <w:t>16</w:t>
            </w:r>
          </w:p>
        </w:tc>
        <w:tc>
          <w:tcPr>
            <w:tcW w:w="7931" w:type="dxa"/>
          </w:tcPr>
          <w:p w14:paraId="679055E6" w14:textId="77777777" w:rsidR="00AB20B6" w:rsidRPr="00AB20B6" w:rsidRDefault="00AB20B6" w:rsidP="00AB20B6">
            <w:pPr>
              <w:rPr>
                <w:color w:val="auto"/>
              </w:rPr>
            </w:pPr>
            <w:r w:rsidRPr="00AB20B6">
              <w:rPr>
                <w:color w:val="auto"/>
              </w:rPr>
              <w:t>The Council resolved to:</w:t>
            </w:r>
          </w:p>
          <w:p w14:paraId="273C48B9" w14:textId="5A46B223" w:rsidR="00AB20B6" w:rsidRPr="00AB20B6" w:rsidRDefault="00AB20B6" w:rsidP="00AB20B6">
            <w:pPr>
              <w:pStyle w:val="ListParagraph"/>
              <w:numPr>
                <w:ilvl w:val="0"/>
                <w:numId w:val="22"/>
              </w:numPr>
              <w:rPr>
                <w:color w:val="auto"/>
              </w:rPr>
            </w:pPr>
            <w:r w:rsidRPr="00AB20B6">
              <w:rPr>
                <w:color w:val="auto"/>
              </w:rPr>
              <w:t xml:space="preserve">approve the UC commitment to preventing and responding to Antisemitism outlined in this paper, incorporating the five areas of action to be taken by the </w:t>
            </w:r>
            <w:proofErr w:type="gramStart"/>
            <w:r w:rsidRPr="00AB20B6">
              <w:rPr>
                <w:color w:val="auto"/>
              </w:rPr>
              <w:t>University;</w:t>
            </w:r>
            <w:proofErr w:type="gramEnd"/>
          </w:p>
          <w:p w14:paraId="4EBEB7D3" w14:textId="25C78EED" w:rsidR="00AB20B6" w:rsidRPr="00AB20B6" w:rsidRDefault="00AB20B6" w:rsidP="00AB20B6">
            <w:pPr>
              <w:pStyle w:val="ListParagraph"/>
              <w:numPr>
                <w:ilvl w:val="0"/>
                <w:numId w:val="22"/>
              </w:numPr>
              <w:rPr>
                <w:color w:val="auto"/>
              </w:rPr>
            </w:pPr>
            <w:r w:rsidRPr="00AB20B6">
              <w:rPr>
                <w:color w:val="auto"/>
              </w:rPr>
              <w:t xml:space="preserve">agree to adopt the IHRA definition of antisemitism noting acceptance of the definition by Australian Government and the National Student </w:t>
            </w:r>
            <w:proofErr w:type="gramStart"/>
            <w:r w:rsidRPr="00AB20B6">
              <w:rPr>
                <w:color w:val="auto"/>
              </w:rPr>
              <w:t>Ombudsman;</w:t>
            </w:r>
            <w:proofErr w:type="gramEnd"/>
          </w:p>
          <w:p w14:paraId="059EF299" w14:textId="6AF45377" w:rsidR="00AB20B6" w:rsidRPr="00AB20B6" w:rsidRDefault="00AB20B6" w:rsidP="00AB20B6">
            <w:pPr>
              <w:pStyle w:val="ListParagraph"/>
              <w:numPr>
                <w:ilvl w:val="0"/>
                <w:numId w:val="22"/>
              </w:numPr>
              <w:rPr>
                <w:color w:val="auto"/>
              </w:rPr>
            </w:pPr>
            <w:r w:rsidRPr="00AB20B6">
              <w:rPr>
                <w:color w:val="auto"/>
              </w:rPr>
              <w:t xml:space="preserve">agree to add the IHRA definition of antisemitism to the Council Governance </w:t>
            </w:r>
            <w:proofErr w:type="gramStart"/>
            <w:r w:rsidRPr="00AB20B6">
              <w:rPr>
                <w:color w:val="auto"/>
              </w:rPr>
              <w:t>Charter;</w:t>
            </w:r>
            <w:proofErr w:type="gramEnd"/>
            <w:r w:rsidRPr="00AB20B6">
              <w:rPr>
                <w:color w:val="auto"/>
              </w:rPr>
              <w:t xml:space="preserve"> </w:t>
            </w:r>
          </w:p>
          <w:p w14:paraId="1F28FAD8" w14:textId="72E6CCF2" w:rsidR="000C358A" w:rsidRPr="00AB20B6" w:rsidRDefault="00AB20B6" w:rsidP="00AB20B6">
            <w:pPr>
              <w:pStyle w:val="ListParagraph"/>
              <w:numPr>
                <w:ilvl w:val="0"/>
                <w:numId w:val="22"/>
              </w:numPr>
              <w:rPr>
                <w:color w:val="auto"/>
              </w:rPr>
            </w:pPr>
            <w:r w:rsidRPr="00AB20B6">
              <w:rPr>
                <w:color w:val="auto"/>
              </w:rPr>
              <w:t>note UC should also adopt other definitions for inclusion in policies and procedures (i.e. islamophobia, homophobia,</w:t>
            </w:r>
            <w:r>
              <w:rPr>
                <w:color w:val="auto"/>
              </w:rPr>
              <w:t xml:space="preserve"> </w:t>
            </w:r>
            <w:r w:rsidRPr="00AB20B6">
              <w:rPr>
                <w:color w:val="auto"/>
              </w:rPr>
              <w:t>racism etc).</w:t>
            </w:r>
          </w:p>
        </w:tc>
      </w:tr>
      <w:tr w:rsidR="000C358A" w14:paraId="004BFEED" w14:textId="77777777" w:rsidTr="00A46457">
        <w:tc>
          <w:tcPr>
            <w:tcW w:w="2263" w:type="dxa"/>
          </w:tcPr>
          <w:p w14:paraId="6CD99E49" w14:textId="5BB4DD7C" w:rsidR="000C358A" w:rsidRPr="00A46457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/1</w:t>
            </w:r>
            <w:r w:rsidR="00AB20B6">
              <w:rPr>
                <w:color w:val="auto"/>
              </w:rPr>
              <w:t>7</w:t>
            </w:r>
          </w:p>
        </w:tc>
        <w:tc>
          <w:tcPr>
            <w:tcW w:w="7931" w:type="dxa"/>
          </w:tcPr>
          <w:p w14:paraId="739A44BD" w14:textId="15772441" w:rsidR="000C358A" w:rsidRPr="000C358A" w:rsidRDefault="00AB20B6" w:rsidP="003210D7">
            <w:pPr>
              <w:rPr>
                <w:color w:val="auto"/>
              </w:rPr>
            </w:pPr>
            <w:r w:rsidRPr="00AB20B6">
              <w:rPr>
                <w:color w:val="auto"/>
              </w:rPr>
              <w:t>Council resolved to accept the Chubb Review recommendations update report response and approve the closure of the actions against Recommendations 1, 6, 8, 12, 16, 18, 19, 21 and 24.</w:t>
            </w:r>
          </w:p>
        </w:tc>
      </w:tr>
      <w:tr w:rsidR="000C358A" w14:paraId="51DA48B3" w14:textId="77777777" w:rsidTr="00A46457">
        <w:tc>
          <w:tcPr>
            <w:tcW w:w="2263" w:type="dxa"/>
          </w:tcPr>
          <w:p w14:paraId="7E7F6BBD" w14:textId="182DF361" w:rsidR="000C358A" w:rsidRPr="00A46457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/1</w:t>
            </w:r>
            <w:r w:rsidR="00AB20B6">
              <w:rPr>
                <w:color w:val="auto"/>
              </w:rPr>
              <w:t>8</w:t>
            </w:r>
          </w:p>
        </w:tc>
        <w:tc>
          <w:tcPr>
            <w:tcW w:w="7931" w:type="dxa"/>
          </w:tcPr>
          <w:p w14:paraId="795520DA" w14:textId="75A22F94" w:rsidR="000C358A" w:rsidRPr="000C358A" w:rsidRDefault="00AB20B6" w:rsidP="000C358A">
            <w:pPr>
              <w:rPr>
                <w:color w:val="auto"/>
              </w:rPr>
            </w:pPr>
            <w:r w:rsidRPr="00AB20B6">
              <w:rPr>
                <w:color w:val="auto"/>
              </w:rPr>
              <w:t>Council resolved to accept the high-level summary on the University’s current compliance position with respect to the Expert Council on University Governance Final Report and Principles and endorse the remediation recommendations</w:t>
            </w:r>
            <w:r>
              <w:rPr>
                <w:color w:val="auto"/>
              </w:rPr>
              <w:t>.</w:t>
            </w:r>
          </w:p>
        </w:tc>
      </w:tr>
      <w:tr w:rsidR="000C358A" w14:paraId="5EF5872F" w14:textId="77777777" w:rsidTr="00A46457">
        <w:tc>
          <w:tcPr>
            <w:tcW w:w="2263" w:type="dxa"/>
          </w:tcPr>
          <w:p w14:paraId="3E23DE75" w14:textId="26CA5E22" w:rsidR="000C358A" w:rsidRPr="00134920" w:rsidRDefault="000C358A" w:rsidP="000C358A">
            <w:pPr>
              <w:tabs>
                <w:tab w:val="left" w:pos="180"/>
              </w:tabs>
            </w:pPr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/1</w:t>
            </w:r>
            <w:r w:rsidR="00AB20B6">
              <w:rPr>
                <w:color w:val="auto"/>
              </w:rPr>
              <w:t>9</w:t>
            </w:r>
          </w:p>
        </w:tc>
        <w:tc>
          <w:tcPr>
            <w:tcW w:w="7931" w:type="dxa"/>
          </w:tcPr>
          <w:p w14:paraId="011A09C5" w14:textId="118C91E3" w:rsidR="000C358A" w:rsidRPr="000C358A" w:rsidRDefault="00AB20B6" w:rsidP="000C358A">
            <w:pPr>
              <w:rPr>
                <w:color w:val="auto"/>
              </w:rPr>
            </w:pPr>
            <w:r w:rsidRPr="00AB20B6">
              <w:rPr>
                <w:color w:val="auto"/>
              </w:rPr>
              <w:t>Council resolve</w:t>
            </w:r>
            <w:r>
              <w:rPr>
                <w:color w:val="auto"/>
              </w:rPr>
              <w:t>d</w:t>
            </w:r>
            <w:r w:rsidRPr="00AB20B6">
              <w:rPr>
                <w:color w:val="auto"/>
              </w:rPr>
              <w:t xml:space="preserve"> to approve that the External Review of Academic Governance be conducted in early 2027.</w:t>
            </w:r>
          </w:p>
        </w:tc>
      </w:tr>
      <w:tr w:rsidR="000C358A" w14:paraId="76984EC3" w14:textId="77777777" w:rsidTr="00A46457">
        <w:tc>
          <w:tcPr>
            <w:tcW w:w="2263" w:type="dxa"/>
          </w:tcPr>
          <w:p w14:paraId="0C4FEDE5" w14:textId="466CC760" w:rsidR="000C358A" w:rsidRPr="00134920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AB20B6">
              <w:rPr>
                <w:color w:val="auto"/>
              </w:rPr>
              <w:t>20</w:t>
            </w:r>
          </w:p>
        </w:tc>
        <w:tc>
          <w:tcPr>
            <w:tcW w:w="7931" w:type="dxa"/>
          </w:tcPr>
          <w:p w14:paraId="3CC2FD3F" w14:textId="77777777" w:rsidR="00AB20B6" w:rsidRPr="00AB20B6" w:rsidRDefault="00AB20B6" w:rsidP="00AB20B6">
            <w:pPr>
              <w:rPr>
                <w:color w:val="auto"/>
              </w:rPr>
            </w:pPr>
            <w:r w:rsidRPr="00AB20B6">
              <w:rPr>
                <w:color w:val="auto"/>
              </w:rPr>
              <w:t>The Council resolved to approve:</w:t>
            </w:r>
          </w:p>
          <w:p w14:paraId="1F7A2FE8" w14:textId="77777777" w:rsidR="00AB20B6" w:rsidRPr="00AB20B6" w:rsidRDefault="00AB20B6" w:rsidP="00AB20B6">
            <w:pPr>
              <w:rPr>
                <w:color w:val="auto"/>
              </w:rPr>
            </w:pPr>
            <w:r w:rsidRPr="00AB20B6">
              <w:rPr>
                <w:color w:val="auto"/>
              </w:rPr>
              <w:t xml:space="preserve">a) the establishment of the Gender Based Violence Committee as a subcommittee of the Audit and Risk Management </w:t>
            </w:r>
            <w:proofErr w:type="gramStart"/>
            <w:r w:rsidRPr="00AB20B6">
              <w:rPr>
                <w:color w:val="auto"/>
              </w:rPr>
              <w:t>Committee;</w:t>
            </w:r>
            <w:proofErr w:type="gramEnd"/>
          </w:p>
          <w:p w14:paraId="2D8C9ED7" w14:textId="77777777" w:rsidR="00AB20B6" w:rsidRPr="00AB20B6" w:rsidRDefault="00AB20B6" w:rsidP="00AB20B6">
            <w:pPr>
              <w:rPr>
                <w:color w:val="auto"/>
              </w:rPr>
            </w:pPr>
            <w:r w:rsidRPr="00AB20B6">
              <w:rPr>
                <w:color w:val="auto"/>
              </w:rPr>
              <w:t xml:space="preserve">b) the GBV Committee Charter; </w:t>
            </w:r>
            <w:proofErr w:type="gramStart"/>
            <w:r w:rsidRPr="00AB20B6">
              <w:rPr>
                <w:color w:val="auto"/>
              </w:rPr>
              <w:t>and;</w:t>
            </w:r>
            <w:proofErr w:type="gramEnd"/>
          </w:p>
          <w:p w14:paraId="701D77BA" w14:textId="0C73F660" w:rsidR="000C358A" w:rsidRDefault="00AB20B6" w:rsidP="00AB20B6">
            <w:pPr>
              <w:rPr>
                <w:color w:val="auto"/>
              </w:rPr>
            </w:pPr>
            <w:r w:rsidRPr="00AB20B6">
              <w:rPr>
                <w:color w:val="auto"/>
              </w:rPr>
              <w:t>c) the appointment of Ms Anne-Marie Lansdown as the inaugural Committee Chair and Dr Renee Hamilton as an External Independent Member</w:t>
            </w:r>
            <w:r w:rsidR="0032708C">
              <w:rPr>
                <w:color w:val="auto"/>
              </w:rPr>
              <w:t>; and</w:t>
            </w:r>
          </w:p>
          <w:p w14:paraId="716624A2" w14:textId="480A6249" w:rsidR="00AB20B6" w:rsidRPr="000C358A" w:rsidRDefault="00AB20B6" w:rsidP="00AB20B6">
            <w:pPr>
              <w:rPr>
                <w:color w:val="auto"/>
              </w:rPr>
            </w:pPr>
            <w:r>
              <w:rPr>
                <w:color w:val="auto"/>
              </w:rPr>
              <w:t xml:space="preserve">d) </w:t>
            </w:r>
            <w:r w:rsidRPr="00AB20B6">
              <w:rPr>
                <w:color w:val="auto"/>
              </w:rPr>
              <w:t xml:space="preserve">the appointment </w:t>
            </w:r>
            <w:r w:rsidRPr="0032708C">
              <w:rPr>
                <w:color w:val="auto"/>
              </w:rPr>
              <w:t>of Dr Phil Duncan PVC Indigenous as an internal member</w:t>
            </w:r>
            <w:r w:rsidR="0032708C">
              <w:rPr>
                <w:color w:val="auto"/>
              </w:rPr>
              <w:t>.</w:t>
            </w:r>
          </w:p>
        </w:tc>
      </w:tr>
      <w:tr w:rsidR="000C358A" w14:paraId="3E69D9EB" w14:textId="77777777" w:rsidTr="00A46457">
        <w:tc>
          <w:tcPr>
            <w:tcW w:w="2263" w:type="dxa"/>
          </w:tcPr>
          <w:p w14:paraId="4FDF328A" w14:textId="120BB368" w:rsidR="000C358A" w:rsidRPr="00134920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AB20B6">
              <w:rPr>
                <w:color w:val="auto"/>
              </w:rPr>
              <w:t>21</w:t>
            </w:r>
          </w:p>
        </w:tc>
        <w:tc>
          <w:tcPr>
            <w:tcW w:w="7931" w:type="dxa"/>
          </w:tcPr>
          <w:p w14:paraId="40A2BE43" w14:textId="18364A0A" w:rsidR="000C358A" w:rsidRPr="00C25794" w:rsidRDefault="00AB20B6" w:rsidP="000C358A">
            <w:r w:rsidRPr="00AB20B6">
              <w:rPr>
                <w:color w:val="auto"/>
              </w:rPr>
              <w:t>Council resolve</w:t>
            </w:r>
            <w:r>
              <w:rPr>
                <w:color w:val="auto"/>
              </w:rPr>
              <w:t>d</w:t>
            </w:r>
            <w:r w:rsidRPr="00AB20B6">
              <w:rPr>
                <w:color w:val="auto"/>
              </w:rPr>
              <w:t xml:space="preserve"> to approve the appointment of </w:t>
            </w:r>
            <w:r>
              <w:rPr>
                <w:color w:val="auto"/>
              </w:rPr>
              <w:t xml:space="preserve">Mr </w:t>
            </w:r>
            <w:r w:rsidRPr="00AB20B6">
              <w:rPr>
                <w:color w:val="auto"/>
              </w:rPr>
              <w:t>Geoff Drummond, Interim Chief Operating Officer, as a director of UC Global.</w:t>
            </w:r>
          </w:p>
        </w:tc>
      </w:tr>
      <w:tr w:rsidR="000C358A" w14:paraId="2D6CC280" w14:textId="77777777" w:rsidTr="00A46457">
        <w:tc>
          <w:tcPr>
            <w:tcW w:w="2263" w:type="dxa"/>
          </w:tcPr>
          <w:p w14:paraId="7DD9F471" w14:textId="5AA9C741" w:rsidR="000C358A" w:rsidRPr="00134920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AB20B6">
              <w:rPr>
                <w:color w:val="auto"/>
              </w:rPr>
              <w:t>22</w:t>
            </w:r>
          </w:p>
        </w:tc>
        <w:tc>
          <w:tcPr>
            <w:tcW w:w="7931" w:type="dxa"/>
          </w:tcPr>
          <w:p w14:paraId="2D839EB8" w14:textId="3AEF7362" w:rsidR="000C358A" w:rsidRPr="000C358A" w:rsidRDefault="00AB20B6" w:rsidP="000C358A">
            <w:pPr>
              <w:rPr>
                <w:color w:val="auto"/>
              </w:rPr>
            </w:pPr>
            <w:r w:rsidRPr="00AB20B6">
              <w:rPr>
                <w:color w:val="auto"/>
              </w:rPr>
              <w:t>The Council resolved to approve the 2025 Annual Report submissions for the Finance Committee and the Audit and Risk Management Committee.</w:t>
            </w:r>
          </w:p>
        </w:tc>
      </w:tr>
      <w:tr w:rsidR="000C358A" w14:paraId="4FBF6538" w14:textId="77777777" w:rsidTr="00A46457">
        <w:tc>
          <w:tcPr>
            <w:tcW w:w="2263" w:type="dxa"/>
          </w:tcPr>
          <w:p w14:paraId="406E712E" w14:textId="1FA6A38E" w:rsidR="000C358A" w:rsidRPr="00134920" w:rsidRDefault="000C358A" w:rsidP="000C358A"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AB20B6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AB20B6">
              <w:rPr>
                <w:color w:val="auto"/>
              </w:rPr>
              <w:t>23</w:t>
            </w:r>
          </w:p>
        </w:tc>
        <w:tc>
          <w:tcPr>
            <w:tcW w:w="7931" w:type="dxa"/>
          </w:tcPr>
          <w:p w14:paraId="67F8D2E4" w14:textId="1D026E25" w:rsidR="000C358A" w:rsidRPr="000C358A" w:rsidRDefault="00B87262" w:rsidP="003210D7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accept the Chancellor’s Report.</w:t>
            </w:r>
          </w:p>
        </w:tc>
      </w:tr>
      <w:tr w:rsidR="000C358A" w14:paraId="464235D8" w14:textId="77777777" w:rsidTr="00A46457">
        <w:tc>
          <w:tcPr>
            <w:tcW w:w="2263" w:type="dxa"/>
          </w:tcPr>
          <w:p w14:paraId="322D4F1D" w14:textId="2CACD1C0" w:rsidR="000C358A" w:rsidRPr="000C358A" w:rsidRDefault="000C358A" w:rsidP="000C358A">
            <w:pPr>
              <w:rPr>
                <w:color w:val="auto"/>
              </w:rPr>
            </w:pPr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B87262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B87262">
              <w:rPr>
                <w:color w:val="auto"/>
              </w:rPr>
              <w:t>24</w:t>
            </w:r>
          </w:p>
        </w:tc>
        <w:tc>
          <w:tcPr>
            <w:tcW w:w="7931" w:type="dxa"/>
          </w:tcPr>
          <w:p w14:paraId="0F40DBF0" w14:textId="78FFEF16" w:rsidR="000C358A" w:rsidRPr="000C358A" w:rsidRDefault="003210D7" w:rsidP="000C358A">
            <w:pPr>
              <w:rPr>
                <w:color w:val="auto"/>
              </w:rPr>
            </w:pPr>
            <w:r w:rsidRPr="003210D7">
              <w:rPr>
                <w:color w:val="auto"/>
              </w:rPr>
              <w:t>The Council resolved to accept the SRC Report</w:t>
            </w:r>
            <w:r w:rsidR="00B87262">
              <w:rPr>
                <w:color w:val="auto"/>
              </w:rPr>
              <w:t>.</w:t>
            </w:r>
          </w:p>
        </w:tc>
      </w:tr>
      <w:tr w:rsidR="000C358A" w14:paraId="496F31BB" w14:textId="77777777" w:rsidTr="00A46457">
        <w:tc>
          <w:tcPr>
            <w:tcW w:w="2263" w:type="dxa"/>
          </w:tcPr>
          <w:p w14:paraId="75186706" w14:textId="3D5BE1A9" w:rsidR="000C358A" w:rsidRPr="000C358A" w:rsidRDefault="000C358A" w:rsidP="000C358A">
            <w:pPr>
              <w:rPr>
                <w:color w:val="auto"/>
              </w:rPr>
            </w:pPr>
            <w:r w:rsidRPr="00421AE9">
              <w:rPr>
                <w:color w:val="auto"/>
              </w:rPr>
              <w:lastRenderedPageBreak/>
              <w:t>RESOLUTION C2</w:t>
            </w:r>
            <w:r w:rsidR="003210D7">
              <w:rPr>
                <w:color w:val="auto"/>
              </w:rPr>
              <w:t>6</w:t>
            </w:r>
            <w:r w:rsidR="00B87262">
              <w:rPr>
                <w:color w:val="auto"/>
              </w:rPr>
              <w:t>1</w:t>
            </w:r>
            <w:r>
              <w:rPr>
                <w:color w:val="auto"/>
              </w:rPr>
              <w:t>/</w:t>
            </w:r>
            <w:r w:rsidR="00B87262">
              <w:rPr>
                <w:color w:val="auto"/>
              </w:rPr>
              <w:t>25</w:t>
            </w:r>
          </w:p>
        </w:tc>
        <w:tc>
          <w:tcPr>
            <w:tcW w:w="7931" w:type="dxa"/>
          </w:tcPr>
          <w:p w14:paraId="11193641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to:</w:t>
            </w:r>
          </w:p>
          <w:p w14:paraId="0F431277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 xml:space="preserve">a. </w:t>
            </w:r>
            <w:proofErr w:type="gramStart"/>
            <w:r w:rsidRPr="00B87262">
              <w:rPr>
                <w:color w:val="auto"/>
              </w:rPr>
              <w:t>accept</w:t>
            </w:r>
            <w:proofErr w:type="gramEnd"/>
            <w:r w:rsidRPr="00B87262">
              <w:rPr>
                <w:color w:val="auto"/>
              </w:rPr>
              <w:t xml:space="preserve"> the Academic Board Report.</w:t>
            </w:r>
          </w:p>
          <w:p w14:paraId="1B281136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 xml:space="preserve">b. </w:t>
            </w:r>
            <w:proofErr w:type="gramStart"/>
            <w:r w:rsidRPr="00B87262">
              <w:rPr>
                <w:color w:val="auto"/>
              </w:rPr>
              <w:t>consider</w:t>
            </w:r>
            <w:proofErr w:type="gramEnd"/>
            <w:r w:rsidRPr="00B87262">
              <w:rPr>
                <w:color w:val="auto"/>
              </w:rPr>
              <w:t xml:space="preserve"> the recommendation to update the education and research KPIs and their targets.</w:t>
            </w:r>
          </w:p>
          <w:p w14:paraId="6B28FE03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 xml:space="preserve">c. </w:t>
            </w:r>
            <w:proofErr w:type="gramStart"/>
            <w:r w:rsidRPr="00B87262">
              <w:rPr>
                <w:color w:val="auto"/>
              </w:rPr>
              <w:t>consider</w:t>
            </w:r>
            <w:proofErr w:type="gramEnd"/>
            <w:r w:rsidRPr="00B87262">
              <w:rPr>
                <w:color w:val="auto"/>
              </w:rPr>
              <w:t xml:space="preserve"> the Academic Board feedback on Block Teaching.</w:t>
            </w:r>
          </w:p>
          <w:p w14:paraId="1EA5982D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 xml:space="preserve">d. </w:t>
            </w:r>
            <w:proofErr w:type="gramStart"/>
            <w:r w:rsidRPr="00B87262">
              <w:rPr>
                <w:color w:val="auto"/>
              </w:rPr>
              <w:t>accept</w:t>
            </w:r>
            <w:proofErr w:type="gramEnd"/>
            <w:r w:rsidRPr="00B87262">
              <w:rPr>
                <w:color w:val="auto"/>
              </w:rPr>
              <w:t xml:space="preserve"> the update on the 2020 External Review of Academic Governance that the final two recommendations (23 and 24) related to risk oversight are complete.</w:t>
            </w:r>
          </w:p>
          <w:p w14:paraId="44353CED" w14:textId="51CBBD27" w:rsidR="000C358A" w:rsidRPr="000C358A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 xml:space="preserve">e. </w:t>
            </w:r>
            <w:proofErr w:type="gramStart"/>
            <w:r w:rsidRPr="00B87262">
              <w:rPr>
                <w:color w:val="auto"/>
              </w:rPr>
              <w:t>note</w:t>
            </w:r>
            <w:proofErr w:type="gramEnd"/>
            <w:r w:rsidRPr="00B87262">
              <w:rPr>
                <w:color w:val="auto"/>
              </w:rPr>
              <w:t xml:space="preserve"> the unconfirmed Academic Board minutes of the meetings held on 6 November 2025 and 10 December 2025.</w:t>
            </w:r>
          </w:p>
        </w:tc>
      </w:tr>
      <w:tr w:rsidR="000C358A" w14:paraId="45ED2260" w14:textId="77777777" w:rsidTr="00A46457">
        <w:tc>
          <w:tcPr>
            <w:tcW w:w="2263" w:type="dxa"/>
          </w:tcPr>
          <w:p w14:paraId="49D3A069" w14:textId="72E6E628" w:rsidR="000C358A" w:rsidRPr="000C358A" w:rsidRDefault="000C358A" w:rsidP="000C358A">
            <w:pPr>
              <w:rPr>
                <w:color w:val="auto"/>
              </w:rPr>
            </w:pPr>
            <w:r w:rsidRPr="00421AE9">
              <w:rPr>
                <w:color w:val="auto"/>
              </w:rPr>
              <w:t>RESOLUTION C2</w:t>
            </w:r>
            <w:r w:rsidR="003210D7">
              <w:rPr>
                <w:color w:val="auto"/>
              </w:rPr>
              <w:t>6</w:t>
            </w:r>
            <w:r w:rsidR="00B87262">
              <w:rPr>
                <w:color w:val="auto"/>
              </w:rPr>
              <w:t>1</w:t>
            </w:r>
            <w:r>
              <w:rPr>
                <w:color w:val="auto"/>
              </w:rPr>
              <w:t>/2</w:t>
            </w:r>
            <w:r w:rsidR="00B87262">
              <w:rPr>
                <w:color w:val="auto"/>
              </w:rPr>
              <w:t>6</w:t>
            </w:r>
          </w:p>
        </w:tc>
        <w:tc>
          <w:tcPr>
            <w:tcW w:w="7931" w:type="dxa"/>
          </w:tcPr>
          <w:p w14:paraId="239ACEDD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note the:</w:t>
            </w:r>
          </w:p>
          <w:p w14:paraId="04FEACA3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a) ARMC Report</w:t>
            </w:r>
          </w:p>
          <w:p w14:paraId="39318D1B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b) Unconfirmed Minutes ARMC2026/1 12 February 2026</w:t>
            </w:r>
          </w:p>
          <w:p w14:paraId="3CFF1EDF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c) Cybersecurity Report</w:t>
            </w:r>
          </w:p>
          <w:p w14:paraId="22503797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d) Wellbeing and Safety Report</w:t>
            </w:r>
          </w:p>
          <w:p w14:paraId="56BDAEF0" w14:textId="6BD17573" w:rsidR="000C358A" w:rsidRPr="000C358A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e) Compliance Management Report</w:t>
            </w:r>
            <w:r>
              <w:rPr>
                <w:color w:val="auto"/>
              </w:rPr>
              <w:t>.</w:t>
            </w:r>
          </w:p>
        </w:tc>
      </w:tr>
      <w:tr w:rsidR="003210D7" w14:paraId="6CA9C346" w14:textId="77777777" w:rsidTr="00A46457">
        <w:tc>
          <w:tcPr>
            <w:tcW w:w="2263" w:type="dxa"/>
          </w:tcPr>
          <w:p w14:paraId="5BE47ED3" w14:textId="5114ABE3" w:rsidR="003210D7" w:rsidRPr="00421AE9" w:rsidRDefault="003210D7" w:rsidP="003210D7">
            <w:pPr>
              <w:rPr>
                <w:color w:val="auto"/>
              </w:rPr>
            </w:pPr>
            <w:r w:rsidRPr="009553F7">
              <w:rPr>
                <w:color w:val="auto"/>
              </w:rPr>
              <w:t>RESOLUTION C26</w:t>
            </w:r>
            <w:r w:rsidR="00B87262">
              <w:rPr>
                <w:color w:val="auto"/>
              </w:rPr>
              <w:t>1</w:t>
            </w:r>
            <w:r w:rsidRPr="009553F7">
              <w:rPr>
                <w:color w:val="auto"/>
              </w:rPr>
              <w:t>/2</w:t>
            </w:r>
            <w:r w:rsidR="00B87262">
              <w:rPr>
                <w:color w:val="auto"/>
              </w:rPr>
              <w:t>7</w:t>
            </w:r>
          </w:p>
        </w:tc>
        <w:tc>
          <w:tcPr>
            <w:tcW w:w="7931" w:type="dxa"/>
          </w:tcPr>
          <w:p w14:paraId="2BFF6A4A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note the:</w:t>
            </w:r>
          </w:p>
          <w:p w14:paraId="009D6C6F" w14:textId="77777777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a) Financial Management Reports for December 2025; and,</w:t>
            </w:r>
          </w:p>
          <w:p w14:paraId="67E238CB" w14:textId="32557FBE" w:rsidR="003210D7" w:rsidRPr="003210D7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b) the Annual Workforce Profile Report 2025.</w:t>
            </w:r>
          </w:p>
        </w:tc>
      </w:tr>
      <w:tr w:rsidR="003210D7" w14:paraId="5E30F564" w14:textId="77777777" w:rsidTr="00A46457">
        <w:tc>
          <w:tcPr>
            <w:tcW w:w="2263" w:type="dxa"/>
          </w:tcPr>
          <w:p w14:paraId="47B5341D" w14:textId="05F9A4D1" w:rsidR="003210D7" w:rsidRPr="00421AE9" w:rsidRDefault="003210D7" w:rsidP="003210D7">
            <w:pPr>
              <w:rPr>
                <w:color w:val="auto"/>
              </w:rPr>
            </w:pPr>
            <w:r w:rsidRPr="009553F7">
              <w:rPr>
                <w:color w:val="auto"/>
              </w:rPr>
              <w:t>RESOLUTION C26</w:t>
            </w:r>
            <w:r w:rsidR="00B87262">
              <w:rPr>
                <w:color w:val="auto"/>
              </w:rPr>
              <w:t>1</w:t>
            </w:r>
            <w:r w:rsidRPr="009553F7">
              <w:rPr>
                <w:color w:val="auto"/>
              </w:rPr>
              <w:t>/2</w:t>
            </w:r>
            <w:r w:rsidR="00B87262">
              <w:rPr>
                <w:color w:val="auto"/>
              </w:rPr>
              <w:t>8</w:t>
            </w:r>
          </w:p>
        </w:tc>
        <w:tc>
          <w:tcPr>
            <w:tcW w:w="7931" w:type="dxa"/>
          </w:tcPr>
          <w:p w14:paraId="0D9D14BB" w14:textId="5157A6E2" w:rsidR="003210D7" w:rsidRPr="003210D7" w:rsidRDefault="00B87262" w:rsidP="003210D7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note the Unconfirmed Minutes PDC2026/1 held 13 February 2026.</w:t>
            </w:r>
          </w:p>
        </w:tc>
      </w:tr>
      <w:tr w:rsidR="003210D7" w14:paraId="5BC1B0F4" w14:textId="77777777" w:rsidTr="00A46457">
        <w:tc>
          <w:tcPr>
            <w:tcW w:w="2263" w:type="dxa"/>
          </w:tcPr>
          <w:p w14:paraId="1742E4A8" w14:textId="6B0F4FD4" w:rsidR="003210D7" w:rsidRPr="00421AE9" w:rsidRDefault="003210D7" w:rsidP="003210D7">
            <w:pPr>
              <w:rPr>
                <w:color w:val="auto"/>
              </w:rPr>
            </w:pPr>
            <w:r w:rsidRPr="009553F7">
              <w:rPr>
                <w:color w:val="auto"/>
              </w:rPr>
              <w:t>RESOLUTION C26</w:t>
            </w:r>
            <w:r w:rsidR="00B87262">
              <w:rPr>
                <w:color w:val="auto"/>
              </w:rPr>
              <w:t>1</w:t>
            </w:r>
            <w:r w:rsidRPr="009553F7">
              <w:rPr>
                <w:color w:val="auto"/>
              </w:rPr>
              <w:t>/2</w:t>
            </w:r>
            <w:r w:rsidR="00B87262">
              <w:rPr>
                <w:color w:val="auto"/>
              </w:rPr>
              <w:t>9</w:t>
            </w:r>
          </w:p>
        </w:tc>
        <w:tc>
          <w:tcPr>
            <w:tcW w:w="7931" w:type="dxa"/>
          </w:tcPr>
          <w:p w14:paraId="7C4AC703" w14:textId="32362D32" w:rsidR="003210D7" w:rsidRPr="003210D7" w:rsidRDefault="00B87262" w:rsidP="003210D7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approve the AIAWG terms of reference and note the progress of enterprise AI activities.</w:t>
            </w:r>
          </w:p>
        </w:tc>
      </w:tr>
      <w:tr w:rsidR="00B87262" w14:paraId="7090CE19" w14:textId="77777777" w:rsidTr="00A46457">
        <w:tc>
          <w:tcPr>
            <w:tcW w:w="2263" w:type="dxa"/>
          </w:tcPr>
          <w:p w14:paraId="2ED55F99" w14:textId="6F1B9F4C" w:rsidR="00B87262" w:rsidRPr="009553F7" w:rsidRDefault="00B87262" w:rsidP="00B87262">
            <w:pPr>
              <w:rPr>
                <w:color w:val="auto"/>
              </w:rPr>
            </w:pPr>
            <w:r w:rsidRPr="00126F52">
              <w:t>RESOLUTION C261/</w:t>
            </w:r>
            <w:r>
              <w:t>30</w:t>
            </w:r>
          </w:p>
        </w:tc>
        <w:tc>
          <w:tcPr>
            <w:tcW w:w="7931" w:type="dxa"/>
          </w:tcPr>
          <w:p w14:paraId="4AC13165" w14:textId="742EF27E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note the Student Recruitment and Marketing update.</w:t>
            </w:r>
          </w:p>
        </w:tc>
      </w:tr>
      <w:tr w:rsidR="00B87262" w14:paraId="6ABD6792" w14:textId="77777777" w:rsidTr="00A46457">
        <w:tc>
          <w:tcPr>
            <w:tcW w:w="2263" w:type="dxa"/>
          </w:tcPr>
          <w:p w14:paraId="7E3F9030" w14:textId="69755DC8" w:rsidR="00B87262" w:rsidRPr="009553F7" w:rsidRDefault="00B87262" w:rsidP="00B87262">
            <w:pPr>
              <w:rPr>
                <w:color w:val="auto"/>
              </w:rPr>
            </w:pPr>
            <w:r w:rsidRPr="00126F52">
              <w:t>RESOLUTION C261/</w:t>
            </w:r>
            <w:r>
              <w:t>31</w:t>
            </w:r>
          </w:p>
        </w:tc>
        <w:tc>
          <w:tcPr>
            <w:tcW w:w="7931" w:type="dxa"/>
          </w:tcPr>
          <w:p w14:paraId="678B6C0F" w14:textId="353A2322" w:rsidR="00B87262" w:rsidRPr="00B87262" w:rsidRDefault="00B87262" w:rsidP="00B87262">
            <w:pPr>
              <w:rPr>
                <w:color w:val="auto"/>
              </w:rPr>
            </w:pPr>
            <w:r w:rsidRPr="00B87262">
              <w:rPr>
                <w:color w:val="auto"/>
              </w:rPr>
              <w:t>The Council resolved to note the Chancellor’s approval of the conferral of awards including rescindments.</w:t>
            </w:r>
          </w:p>
        </w:tc>
      </w:tr>
    </w:tbl>
    <w:p w14:paraId="799A7DEB" w14:textId="77777777" w:rsidR="00A46457" w:rsidRPr="00F834EB" w:rsidRDefault="00A46457"/>
    <w:sectPr w:rsidR="00A46457" w:rsidRPr="00F834EB" w:rsidSect="00462E42">
      <w:footerReference w:type="default" r:id="rId8"/>
      <w:headerReference w:type="first" r:id="rId9"/>
      <w:endnotePr>
        <w:numFmt w:val="decimal"/>
      </w:endnotePr>
      <w:pgSz w:w="11906" w:h="16838" w:code="9"/>
      <w:pgMar w:top="1134" w:right="851" w:bottom="1871" w:left="85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D2F8" w14:textId="77777777" w:rsidR="003F5878" w:rsidRDefault="003F5878" w:rsidP="00D86959">
      <w:pPr>
        <w:spacing w:after="0" w:line="240" w:lineRule="auto"/>
      </w:pPr>
      <w:r>
        <w:separator/>
      </w:r>
    </w:p>
  </w:endnote>
  <w:endnote w:type="continuationSeparator" w:id="0">
    <w:p w14:paraId="69F7D686" w14:textId="77777777" w:rsidR="003F5878" w:rsidRDefault="003F5878" w:rsidP="00D8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159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8B6A5" w14:textId="39E44D3C" w:rsidR="00D464BC" w:rsidRDefault="00D626ED" w:rsidP="00E50B6C">
        <w:pPr>
          <w:pStyle w:val="Footer"/>
          <w:ind w:firstLine="720"/>
          <w:jc w:val="right"/>
        </w:pPr>
        <w:r>
          <w:rPr>
            <w:b/>
            <w:noProof/>
            <w:color w:val="00A9CE" w:themeColor="accent1"/>
          </w:rPr>
          <w:drawing>
            <wp:anchor distT="0" distB="0" distL="114300" distR="114300" simplePos="0" relativeHeight="251659264" behindDoc="1" locked="0" layoutInCell="1" allowOverlap="1" wp14:anchorId="0673D9A2" wp14:editId="3DC47ED4">
              <wp:simplePos x="0" y="0"/>
              <wp:positionH relativeFrom="column">
                <wp:posOffset>635</wp:posOffset>
              </wp:positionH>
              <wp:positionV relativeFrom="paragraph">
                <wp:posOffset>-94517</wp:posOffset>
              </wp:positionV>
              <wp:extent cx="6479540" cy="307778"/>
              <wp:effectExtent l="0" t="0" r="0" b="0"/>
              <wp:wrapNone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79540" cy="3077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464BC" w:rsidRPr="00D464BC">
          <w:rPr>
            <w:b/>
            <w:color w:val="00A9CE" w:themeColor="accent1"/>
          </w:rPr>
          <w:fldChar w:fldCharType="begin"/>
        </w:r>
        <w:r w:rsidR="00D464BC" w:rsidRPr="00D464BC">
          <w:rPr>
            <w:b/>
            <w:color w:val="00A9CE" w:themeColor="accent1"/>
          </w:rPr>
          <w:instrText xml:space="preserve"> PAGE   \* MERGEFORMAT </w:instrText>
        </w:r>
        <w:r w:rsidR="00D464BC" w:rsidRPr="00D464BC">
          <w:rPr>
            <w:b/>
            <w:color w:val="00A9CE" w:themeColor="accent1"/>
          </w:rPr>
          <w:fldChar w:fldCharType="separate"/>
        </w:r>
        <w:r w:rsidR="00F96FB1">
          <w:rPr>
            <w:b/>
            <w:noProof/>
            <w:color w:val="00A9CE" w:themeColor="accent1"/>
          </w:rPr>
          <w:t>1</w:t>
        </w:r>
        <w:r w:rsidR="00D464BC" w:rsidRPr="00D464BC">
          <w:rPr>
            <w:b/>
            <w:noProof/>
            <w:color w:val="00A9CE" w:themeColor="accent1"/>
          </w:rPr>
          <w:fldChar w:fldCharType="end"/>
        </w:r>
      </w:p>
    </w:sdtContent>
  </w:sdt>
  <w:p w14:paraId="4103C736" w14:textId="77777777" w:rsidR="00D464BC" w:rsidRDefault="00D46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FE67" w14:textId="77777777" w:rsidR="003F5878" w:rsidRDefault="003F5878" w:rsidP="00D86959">
      <w:pPr>
        <w:spacing w:after="0" w:line="240" w:lineRule="auto"/>
      </w:pPr>
      <w:r>
        <w:separator/>
      </w:r>
    </w:p>
  </w:footnote>
  <w:footnote w:type="continuationSeparator" w:id="0">
    <w:p w14:paraId="068F6A68" w14:textId="77777777" w:rsidR="003F5878" w:rsidRDefault="003F5878" w:rsidP="00D8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FED8" w14:textId="3E931684" w:rsidR="00462E42" w:rsidRDefault="00462E4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AF8D5C" wp14:editId="2C3CFD9A">
          <wp:simplePos x="0" y="0"/>
          <wp:positionH relativeFrom="column">
            <wp:posOffset>19685</wp:posOffset>
          </wp:positionH>
          <wp:positionV relativeFrom="paragraph">
            <wp:posOffset>-361950</wp:posOffset>
          </wp:positionV>
          <wp:extent cx="2113494" cy="434340"/>
          <wp:effectExtent l="0" t="0" r="0" b="0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494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1A1B01" wp14:editId="0965728E">
          <wp:simplePos x="0" y="0"/>
          <wp:positionH relativeFrom="page">
            <wp:align>right</wp:align>
          </wp:positionH>
          <wp:positionV relativeFrom="paragraph">
            <wp:posOffset>-1078865</wp:posOffset>
          </wp:positionV>
          <wp:extent cx="3670881" cy="1241854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0881" cy="1241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A2D"/>
    <w:multiLevelType w:val="hybridMultilevel"/>
    <w:tmpl w:val="C7A4978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0196"/>
    <w:multiLevelType w:val="hybridMultilevel"/>
    <w:tmpl w:val="F8406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43F23"/>
    <w:multiLevelType w:val="hybridMultilevel"/>
    <w:tmpl w:val="D6E80104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E5B29"/>
    <w:multiLevelType w:val="hybridMultilevel"/>
    <w:tmpl w:val="834EE3F4"/>
    <w:lvl w:ilvl="0" w:tplc="0CE899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640B9"/>
    <w:multiLevelType w:val="hybridMultilevel"/>
    <w:tmpl w:val="B4F819E6"/>
    <w:lvl w:ilvl="0" w:tplc="04A8F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1DF4"/>
    <w:multiLevelType w:val="hybridMultilevel"/>
    <w:tmpl w:val="D60624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0C20"/>
    <w:multiLevelType w:val="hybridMultilevel"/>
    <w:tmpl w:val="4F804FC2"/>
    <w:lvl w:ilvl="0" w:tplc="04A8F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30977"/>
    <w:multiLevelType w:val="hybridMultilevel"/>
    <w:tmpl w:val="9DD8EE4A"/>
    <w:lvl w:ilvl="0" w:tplc="0C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1F912AA3"/>
    <w:multiLevelType w:val="hybridMultilevel"/>
    <w:tmpl w:val="1BEC7BD8"/>
    <w:lvl w:ilvl="0" w:tplc="C2860A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24AF9"/>
    <w:multiLevelType w:val="hybridMultilevel"/>
    <w:tmpl w:val="F9B66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90A08"/>
    <w:multiLevelType w:val="hybridMultilevel"/>
    <w:tmpl w:val="75083F12"/>
    <w:lvl w:ilvl="0" w:tplc="04A8F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13382"/>
    <w:multiLevelType w:val="hybridMultilevel"/>
    <w:tmpl w:val="23CE0884"/>
    <w:lvl w:ilvl="0" w:tplc="246A6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302F1"/>
    <w:multiLevelType w:val="hybridMultilevel"/>
    <w:tmpl w:val="CC08E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7B0E"/>
    <w:multiLevelType w:val="hybridMultilevel"/>
    <w:tmpl w:val="E27AEB86"/>
    <w:lvl w:ilvl="0" w:tplc="04A8F65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71A2E"/>
    <w:multiLevelType w:val="hybridMultilevel"/>
    <w:tmpl w:val="4568FC8C"/>
    <w:lvl w:ilvl="0" w:tplc="04A8F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36AE4"/>
    <w:multiLevelType w:val="hybridMultilevel"/>
    <w:tmpl w:val="2D58171C"/>
    <w:lvl w:ilvl="0" w:tplc="D2A460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94949"/>
    <w:multiLevelType w:val="hybridMultilevel"/>
    <w:tmpl w:val="50789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15FA7"/>
    <w:multiLevelType w:val="hybridMultilevel"/>
    <w:tmpl w:val="9C38B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949C8"/>
    <w:multiLevelType w:val="hybridMultilevel"/>
    <w:tmpl w:val="058635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C7CE9"/>
    <w:multiLevelType w:val="hybridMultilevel"/>
    <w:tmpl w:val="B114D298"/>
    <w:lvl w:ilvl="0" w:tplc="DC484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619A"/>
    <w:multiLevelType w:val="hybridMultilevel"/>
    <w:tmpl w:val="AED80D86"/>
    <w:lvl w:ilvl="0" w:tplc="4090248C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3391D"/>
    <w:multiLevelType w:val="hybridMultilevel"/>
    <w:tmpl w:val="17EAB4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165AB"/>
    <w:multiLevelType w:val="hybridMultilevel"/>
    <w:tmpl w:val="CA080F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84998">
    <w:abstractNumId w:val="2"/>
  </w:num>
  <w:num w:numId="2" w16cid:durableId="1871987795">
    <w:abstractNumId w:val="9"/>
  </w:num>
  <w:num w:numId="3" w16cid:durableId="70474275">
    <w:abstractNumId w:val="18"/>
  </w:num>
  <w:num w:numId="4" w16cid:durableId="635914853">
    <w:abstractNumId w:val="5"/>
  </w:num>
  <w:num w:numId="5" w16cid:durableId="124469911">
    <w:abstractNumId w:val="19"/>
  </w:num>
  <w:num w:numId="6" w16cid:durableId="1284655915">
    <w:abstractNumId w:val="16"/>
  </w:num>
  <w:num w:numId="7" w16cid:durableId="2131849961">
    <w:abstractNumId w:val="17"/>
  </w:num>
  <w:num w:numId="8" w16cid:durableId="1197085016">
    <w:abstractNumId w:val="22"/>
  </w:num>
  <w:num w:numId="9" w16cid:durableId="64109306">
    <w:abstractNumId w:val="21"/>
  </w:num>
  <w:num w:numId="10" w16cid:durableId="1177773138">
    <w:abstractNumId w:val="0"/>
  </w:num>
  <w:num w:numId="11" w16cid:durableId="493882559">
    <w:abstractNumId w:val="20"/>
  </w:num>
  <w:num w:numId="12" w16cid:durableId="212541357">
    <w:abstractNumId w:val="15"/>
  </w:num>
  <w:num w:numId="13" w16cid:durableId="783816521">
    <w:abstractNumId w:val="11"/>
  </w:num>
  <w:num w:numId="14" w16cid:durableId="383675487">
    <w:abstractNumId w:val="13"/>
  </w:num>
  <w:num w:numId="15" w16cid:durableId="911039055">
    <w:abstractNumId w:val="4"/>
  </w:num>
  <w:num w:numId="16" w16cid:durableId="213397854">
    <w:abstractNumId w:val="14"/>
  </w:num>
  <w:num w:numId="17" w16cid:durableId="482549879">
    <w:abstractNumId w:val="6"/>
  </w:num>
  <w:num w:numId="18" w16cid:durableId="1341006557">
    <w:abstractNumId w:val="10"/>
  </w:num>
  <w:num w:numId="19" w16cid:durableId="636883235">
    <w:abstractNumId w:val="7"/>
  </w:num>
  <w:num w:numId="20" w16cid:durableId="611206256">
    <w:abstractNumId w:val="12"/>
  </w:num>
  <w:num w:numId="21" w16cid:durableId="1816415573">
    <w:abstractNumId w:val="1"/>
  </w:num>
  <w:num w:numId="22" w16cid:durableId="1068311539">
    <w:abstractNumId w:val="8"/>
  </w:num>
  <w:num w:numId="23" w16cid:durableId="1171871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ED"/>
    <w:rsid w:val="0001097C"/>
    <w:rsid w:val="00021ABE"/>
    <w:rsid w:val="0002619F"/>
    <w:rsid w:val="0005064A"/>
    <w:rsid w:val="000525FA"/>
    <w:rsid w:val="00071A39"/>
    <w:rsid w:val="00095E8B"/>
    <w:rsid w:val="000A6529"/>
    <w:rsid w:val="000C0281"/>
    <w:rsid w:val="000C358A"/>
    <w:rsid w:val="000D445C"/>
    <w:rsid w:val="000E245E"/>
    <w:rsid w:val="000F320B"/>
    <w:rsid w:val="00105E4F"/>
    <w:rsid w:val="00134920"/>
    <w:rsid w:val="00145CE2"/>
    <w:rsid w:val="001515A9"/>
    <w:rsid w:val="00155B8B"/>
    <w:rsid w:val="00190819"/>
    <w:rsid w:val="00194B12"/>
    <w:rsid w:val="001A120A"/>
    <w:rsid w:val="001A7ED2"/>
    <w:rsid w:val="001B0C07"/>
    <w:rsid w:val="001B3606"/>
    <w:rsid w:val="001D7425"/>
    <w:rsid w:val="001F06C5"/>
    <w:rsid w:val="001F277F"/>
    <w:rsid w:val="001F6B84"/>
    <w:rsid w:val="001F785C"/>
    <w:rsid w:val="0020035C"/>
    <w:rsid w:val="002326C5"/>
    <w:rsid w:val="00246D08"/>
    <w:rsid w:val="002567AB"/>
    <w:rsid w:val="00262255"/>
    <w:rsid w:val="00276427"/>
    <w:rsid w:val="002776F6"/>
    <w:rsid w:val="00292FB1"/>
    <w:rsid w:val="002A739F"/>
    <w:rsid w:val="002B78E4"/>
    <w:rsid w:val="002C3894"/>
    <w:rsid w:val="002C3D84"/>
    <w:rsid w:val="002E6B5C"/>
    <w:rsid w:val="002F03CC"/>
    <w:rsid w:val="002F2C61"/>
    <w:rsid w:val="003056B7"/>
    <w:rsid w:val="003210D7"/>
    <w:rsid w:val="0032708C"/>
    <w:rsid w:val="00341B57"/>
    <w:rsid w:val="00346FB9"/>
    <w:rsid w:val="00350B54"/>
    <w:rsid w:val="00370A16"/>
    <w:rsid w:val="003759D0"/>
    <w:rsid w:val="003A207A"/>
    <w:rsid w:val="003A2405"/>
    <w:rsid w:val="003A3C42"/>
    <w:rsid w:val="003B1551"/>
    <w:rsid w:val="003B1978"/>
    <w:rsid w:val="003B1DA5"/>
    <w:rsid w:val="003C3691"/>
    <w:rsid w:val="003C752F"/>
    <w:rsid w:val="003F1973"/>
    <w:rsid w:val="003F5878"/>
    <w:rsid w:val="00410CC5"/>
    <w:rsid w:val="00415BCF"/>
    <w:rsid w:val="0043060A"/>
    <w:rsid w:val="00457F9E"/>
    <w:rsid w:val="00462E42"/>
    <w:rsid w:val="00474346"/>
    <w:rsid w:val="00484D37"/>
    <w:rsid w:val="00496651"/>
    <w:rsid w:val="004B260C"/>
    <w:rsid w:val="004B7FD9"/>
    <w:rsid w:val="004C06EB"/>
    <w:rsid w:val="004D1DE0"/>
    <w:rsid w:val="004D4DF2"/>
    <w:rsid w:val="004F2682"/>
    <w:rsid w:val="004F3850"/>
    <w:rsid w:val="004F5FFA"/>
    <w:rsid w:val="0050411F"/>
    <w:rsid w:val="00506CA7"/>
    <w:rsid w:val="00512878"/>
    <w:rsid w:val="00517034"/>
    <w:rsid w:val="00524067"/>
    <w:rsid w:val="005305FF"/>
    <w:rsid w:val="00534F09"/>
    <w:rsid w:val="0053679C"/>
    <w:rsid w:val="00541CB5"/>
    <w:rsid w:val="00541F35"/>
    <w:rsid w:val="00543521"/>
    <w:rsid w:val="0055062A"/>
    <w:rsid w:val="00554A64"/>
    <w:rsid w:val="00564C8A"/>
    <w:rsid w:val="00580564"/>
    <w:rsid w:val="00586B13"/>
    <w:rsid w:val="00594BA4"/>
    <w:rsid w:val="005A4531"/>
    <w:rsid w:val="005C3BDF"/>
    <w:rsid w:val="005C5CD4"/>
    <w:rsid w:val="005C6C05"/>
    <w:rsid w:val="005D1B93"/>
    <w:rsid w:val="005E4DF9"/>
    <w:rsid w:val="005F6DC0"/>
    <w:rsid w:val="00601CD7"/>
    <w:rsid w:val="0065073C"/>
    <w:rsid w:val="00650C6C"/>
    <w:rsid w:val="006516CB"/>
    <w:rsid w:val="00674D6E"/>
    <w:rsid w:val="00675F68"/>
    <w:rsid w:val="00685417"/>
    <w:rsid w:val="006936D4"/>
    <w:rsid w:val="00697F8F"/>
    <w:rsid w:val="006C1A2C"/>
    <w:rsid w:val="006C1DB0"/>
    <w:rsid w:val="006D16CB"/>
    <w:rsid w:val="006D1FFA"/>
    <w:rsid w:val="006D4360"/>
    <w:rsid w:val="006E1307"/>
    <w:rsid w:val="006F5E61"/>
    <w:rsid w:val="0072293A"/>
    <w:rsid w:val="00780C5F"/>
    <w:rsid w:val="0078216D"/>
    <w:rsid w:val="00782D75"/>
    <w:rsid w:val="0079575C"/>
    <w:rsid w:val="007A6431"/>
    <w:rsid w:val="007A7A2E"/>
    <w:rsid w:val="007C4058"/>
    <w:rsid w:val="007E1938"/>
    <w:rsid w:val="007F0D59"/>
    <w:rsid w:val="007F3FB0"/>
    <w:rsid w:val="007F5BDF"/>
    <w:rsid w:val="0080563E"/>
    <w:rsid w:val="00820A68"/>
    <w:rsid w:val="00833E4F"/>
    <w:rsid w:val="00850511"/>
    <w:rsid w:val="008715E8"/>
    <w:rsid w:val="00874219"/>
    <w:rsid w:val="00887142"/>
    <w:rsid w:val="0089089E"/>
    <w:rsid w:val="008A4334"/>
    <w:rsid w:val="008A55F8"/>
    <w:rsid w:val="008D6281"/>
    <w:rsid w:val="008E63CE"/>
    <w:rsid w:val="008F56C2"/>
    <w:rsid w:val="009003F3"/>
    <w:rsid w:val="00902B47"/>
    <w:rsid w:val="00905490"/>
    <w:rsid w:val="0090737E"/>
    <w:rsid w:val="0091237E"/>
    <w:rsid w:val="009162EB"/>
    <w:rsid w:val="00921696"/>
    <w:rsid w:val="0093073F"/>
    <w:rsid w:val="00937BA2"/>
    <w:rsid w:val="009624C8"/>
    <w:rsid w:val="009827C5"/>
    <w:rsid w:val="009862D2"/>
    <w:rsid w:val="00991EEB"/>
    <w:rsid w:val="00995719"/>
    <w:rsid w:val="009A0E3B"/>
    <w:rsid w:val="009C3532"/>
    <w:rsid w:val="009D798D"/>
    <w:rsid w:val="009F2BFE"/>
    <w:rsid w:val="00A0185F"/>
    <w:rsid w:val="00A128E2"/>
    <w:rsid w:val="00A40BEA"/>
    <w:rsid w:val="00A4464D"/>
    <w:rsid w:val="00A46457"/>
    <w:rsid w:val="00A7079F"/>
    <w:rsid w:val="00A71A98"/>
    <w:rsid w:val="00A847AD"/>
    <w:rsid w:val="00A948C6"/>
    <w:rsid w:val="00A96274"/>
    <w:rsid w:val="00AB20B6"/>
    <w:rsid w:val="00AB3E9F"/>
    <w:rsid w:val="00AB56CD"/>
    <w:rsid w:val="00AC374E"/>
    <w:rsid w:val="00AD51F3"/>
    <w:rsid w:val="00B0290A"/>
    <w:rsid w:val="00B24724"/>
    <w:rsid w:val="00B404B1"/>
    <w:rsid w:val="00B42ED9"/>
    <w:rsid w:val="00B62D70"/>
    <w:rsid w:val="00B74747"/>
    <w:rsid w:val="00B820A1"/>
    <w:rsid w:val="00B87262"/>
    <w:rsid w:val="00BA6A14"/>
    <w:rsid w:val="00BC5393"/>
    <w:rsid w:val="00BC74DB"/>
    <w:rsid w:val="00BE7084"/>
    <w:rsid w:val="00BE7EA4"/>
    <w:rsid w:val="00BF4AEB"/>
    <w:rsid w:val="00C0144E"/>
    <w:rsid w:val="00C02F45"/>
    <w:rsid w:val="00C0311A"/>
    <w:rsid w:val="00C056AF"/>
    <w:rsid w:val="00C13355"/>
    <w:rsid w:val="00C14ADF"/>
    <w:rsid w:val="00C14B65"/>
    <w:rsid w:val="00C37347"/>
    <w:rsid w:val="00C4621C"/>
    <w:rsid w:val="00C6546E"/>
    <w:rsid w:val="00C726C4"/>
    <w:rsid w:val="00CA33DF"/>
    <w:rsid w:val="00CB1D72"/>
    <w:rsid w:val="00CB64F2"/>
    <w:rsid w:val="00D26589"/>
    <w:rsid w:val="00D464BC"/>
    <w:rsid w:val="00D51335"/>
    <w:rsid w:val="00D5170A"/>
    <w:rsid w:val="00D54BB2"/>
    <w:rsid w:val="00D55969"/>
    <w:rsid w:val="00D626ED"/>
    <w:rsid w:val="00D642B9"/>
    <w:rsid w:val="00D64D7F"/>
    <w:rsid w:val="00D653E7"/>
    <w:rsid w:val="00D85669"/>
    <w:rsid w:val="00D858F8"/>
    <w:rsid w:val="00D86144"/>
    <w:rsid w:val="00D86959"/>
    <w:rsid w:val="00D92160"/>
    <w:rsid w:val="00DA78C5"/>
    <w:rsid w:val="00DC1D15"/>
    <w:rsid w:val="00DC2FF8"/>
    <w:rsid w:val="00DD2985"/>
    <w:rsid w:val="00DE3256"/>
    <w:rsid w:val="00DF45E9"/>
    <w:rsid w:val="00E17012"/>
    <w:rsid w:val="00E336BE"/>
    <w:rsid w:val="00E50B6C"/>
    <w:rsid w:val="00E8109B"/>
    <w:rsid w:val="00EA7054"/>
    <w:rsid w:val="00EB600F"/>
    <w:rsid w:val="00ED14B2"/>
    <w:rsid w:val="00ED4136"/>
    <w:rsid w:val="00ED414B"/>
    <w:rsid w:val="00EE3B82"/>
    <w:rsid w:val="00EE57AE"/>
    <w:rsid w:val="00EF5F92"/>
    <w:rsid w:val="00F210FE"/>
    <w:rsid w:val="00F26A3F"/>
    <w:rsid w:val="00F35DB0"/>
    <w:rsid w:val="00F96FB1"/>
    <w:rsid w:val="00F9792A"/>
    <w:rsid w:val="00FB7C60"/>
    <w:rsid w:val="00FC18F1"/>
    <w:rsid w:val="00FD1661"/>
    <w:rsid w:val="00FE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F0D63"/>
  <w15:docId w15:val="{D6CFB3DD-8E69-442E-9024-272EBB0A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46457"/>
    <w:pPr>
      <w:spacing w:line="264" w:lineRule="auto"/>
    </w:pPr>
    <w:rPr>
      <w:color w:val="41404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36"/>
    <w:pPr>
      <w:keepNext/>
      <w:keepLines/>
      <w:spacing w:after="480" w:line="240" w:lineRule="auto"/>
      <w:outlineLvl w:val="0"/>
    </w:pPr>
    <w:rPr>
      <w:rFonts w:asciiTheme="majorHAnsi" w:eastAsiaTheme="majorEastAsia" w:hAnsiTheme="majorHAnsi" w:cstheme="majorBidi"/>
      <w:b/>
      <w:bCs/>
      <w:color w:val="00A9CE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136"/>
    <w:pPr>
      <w:keepNext/>
      <w:keepLines/>
      <w:spacing w:after="60" w:line="240" w:lineRule="auto"/>
      <w:outlineLvl w:val="1"/>
    </w:pPr>
    <w:rPr>
      <w:rFonts w:asciiTheme="majorHAnsi" w:eastAsiaTheme="majorEastAsia" w:hAnsiTheme="majorHAnsi" w:cstheme="majorBidi"/>
      <w:b/>
      <w:bCs/>
      <w:color w:val="00A9C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959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959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6959"/>
    <w:pPr>
      <w:keepNext/>
      <w:keepLines/>
      <w:spacing w:after="60"/>
      <w:outlineLvl w:val="4"/>
    </w:pPr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36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bCs/>
      <w:color w:val="005366" w:themeColor="accent1" w:themeShade="7F"/>
      <w:sz w:val="24"/>
      <w:szCs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959"/>
  </w:style>
  <w:style w:type="paragraph" w:styleId="Footer">
    <w:name w:val="footer"/>
    <w:basedOn w:val="Normal"/>
    <w:link w:val="FooterChar"/>
    <w:uiPriority w:val="99"/>
    <w:unhideWhenUsed/>
    <w:rsid w:val="00D86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959"/>
  </w:style>
  <w:style w:type="paragraph" w:styleId="BalloonText">
    <w:name w:val="Balloon Text"/>
    <w:basedOn w:val="Normal"/>
    <w:link w:val="BalloonTextChar"/>
    <w:uiPriority w:val="99"/>
    <w:semiHidden/>
    <w:unhideWhenUsed/>
    <w:rsid w:val="00D8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4136"/>
    <w:rPr>
      <w:rFonts w:asciiTheme="majorHAnsi" w:eastAsiaTheme="majorEastAsia" w:hAnsiTheme="majorHAnsi" w:cstheme="majorBidi"/>
      <w:b/>
      <w:bCs/>
      <w:color w:val="00A9CE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4136"/>
    <w:rPr>
      <w:rFonts w:asciiTheme="majorHAnsi" w:eastAsiaTheme="majorEastAsia" w:hAnsiTheme="majorHAnsi" w:cstheme="majorBidi"/>
      <w:b/>
      <w:bCs/>
      <w:color w:val="00A9CE" w:themeColor="accent1"/>
      <w:sz w:val="32"/>
      <w:szCs w:val="32"/>
    </w:rPr>
  </w:style>
  <w:style w:type="paragraph" w:customStyle="1" w:styleId="Default">
    <w:name w:val="Default"/>
    <w:rsid w:val="00D869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86959"/>
    <w:pPr>
      <w:spacing w:line="201" w:lineRule="atLeast"/>
    </w:pPr>
    <w:rPr>
      <w:rFonts w:cstheme="minorBid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D86959"/>
    <w:rPr>
      <w:rFonts w:asciiTheme="majorHAnsi" w:eastAsiaTheme="majorEastAsia" w:hAnsiTheme="majorHAnsi" w:cstheme="majorBidi"/>
      <w:b/>
      <w:bCs/>
      <w:color w:val="00A9CE" w:themeColor="accent1"/>
      <w:sz w:val="32"/>
    </w:rPr>
  </w:style>
  <w:style w:type="paragraph" w:customStyle="1" w:styleId="Italic">
    <w:name w:val="Italic"/>
    <w:basedOn w:val="Normal"/>
    <w:qFormat/>
    <w:rsid w:val="00D64D7F"/>
    <w:pPr>
      <w:spacing w:before="100"/>
    </w:pPr>
    <w:rPr>
      <w:rFonts w:ascii="Georgia" w:hAnsi="Georgia"/>
      <w:i/>
      <w:color w:val="00A9CE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6959"/>
    <w:rPr>
      <w:rFonts w:asciiTheme="majorHAnsi" w:eastAsiaTheme="majorEastAsia" w:hAnsiTheme="majorHAnsi" w:cstheme="majorBidi"/>
      <w:bCs/>
      <w:iCs/>
      <w:color w:val="00A9CE" w:themeColor="accen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86959"/>
    <w:rPr>
      <w:rFonts w:asciiTheme="majorHAnsi" w:eastAsiaTheme="majorEastAsia" w:hAnsiTheme="majorHAnsi" w:cstheme="majorBidi"/>
      <w:color w:val="00A9CE" w:themeColor="accent1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5DB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5D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5DB0"/>
    <w:rPr>
      <w:vertAlign w:val="superscript"/>
    </w:rPr>
  </w:style>
  <w:style w:type="paragraph" w:customStyle="1" w:styleId="Footnote">
    <w:name w:val="Foot note"/>
    <w:basedOn w:val="Default"/>
    <w:qFormat/>
    <w:rsid w:val="00F35DB0"/>
    <w:rPr>
      <w:rFonts w:asciiTheme="minorHAnsi" w:hAnsiTheme="minorHAnsi" w:cs="Myriad Pro"/>
      <w:color w:val="58595B" w:themeColor="accent2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B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B1"/>
    <w:rPr>
      <w:color w:val="58595B" w:themeColor="accen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B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190819"/>
    <w:rPr>
      <w:color w:val="808080"/>
    </w:rPr>
  </w:style>
  <w:style w:type="table" w:styleId="TableGrid">
    <w:name w:val="Table Grid"/>
    <w:basedOn w:val="TableNormal"/>
    <w:rsid w:val="00010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E336BE"/>
    <w:rPr>
      <w:rFonts w:asciiTheme="majorHAnsi" w:eastAsiaTheme="majorEastAsia" w:hAnsiTheme="majorHAnsi" w:cstheme="majorBidi"/>
      <w:b/>
      <w:bCs/>
      <w:color w:val="005366" w:themeColor="accent1" w:themeShade="7F"/>
      <w:sz w:val="24"/>
      <w:szCs w:val="24"/>
      <w:lang w:val="en-US" w:eastAsia="en-AU"/>
    </w:rPr>
  </w:style>
  <w:style w:type="character" w:styleId="Emphasis">
    <w:name w:val="Emphasis"/>
    <w:basedOn w:val="DefaultParagraphFont"/>
    <w:uiPriority w:val="20"/>
    <w:qFormat/>
    <w:rsid w:val="00462E42"/>
    <w:rPr>
      <w:i/>
      <w:iCs/>
      <w:color w:val="808080" w:themeColor="background1" w:themeShade="80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462E4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12878"/>
    <w:rPr>
      <w:color w:val="414042"/>
    </w:rPr>
  </w:style>
  <w:style w:type="table" w:customStyle="1" w:styleId="TableGrid1">
    <w:name w:val="Table Grid1"/>
    <w:basedOn w:val="TableNormal"/>
    <w:next w:val="TableGrid"/>
    <w:uiPriority w:val="59"/>
    <w:rsid w:val="0051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7ED2"/>
    <w:rPr>
      <w:rFonts w:ascii="Arial" w:hAnsi="Arial"/>
      <w:strike w:val="0"/>
      <w:dstrike w:val="0"/>
      <w:color w:val="0000FF"/>
      <w:sz w:val="20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ED2"/>
    <w:rPr>
      <w:color w:val="006C91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5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5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5F8"/>
    <w:rPr>
      <w:color w:val="41404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5F8"/>
    <w:rPr>
      <w:b/>
      <w:bCs/>
      <w:color w:val="414042"/>
      <w:sz w:val="20"/>
      <w:szCs w:val="20"/>
    </w:rPr>
  </w:style>
  <w:style w:type="paragraph" w:styleId="Revision">
    <w:name w:val="Revision"/>
    <w:hidden/>
    <w:uiPriority w:val="99"/>
    <w:semiHidden/>
    <w:rsid w:val="00850511"/>
    <w:pPr>
      <w:spacing w:after="0" w:line="240" w:lineRule="auto"/>
    </w:pPr>
    <w:rPr>
      <w:color w:val="4140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UC-Rebrand">
      <a:dk1>
        <a:sysClr val="windowText" lastClr="000000"/>
      </a:dk1>
      <a:lt1>
        <a:sysClr val="window" lastClr="FFFFFF"/>
      </a:lt1>
      <a:dk2>
        <a:srgbClr val="414D61"/>
      </a:dk2>
      <a:lt2>
        <a:srgbClr val="FFFFFF"/>
      </a:lt2>
      <a:accent1>
        <a:srgbClr val="00A9CE"/>
      </a:accent1>
      <a:accent2>
        <a:srgbClr val="58595B"/>
      </a:accent2>
      <a:accent3>
        <a:srgbClr val="92D6E3"/>
      </a:accent3>
      <a:accent4>
        <a:srgbClr val="006C91"/>
      </a:accent4>
      <a:accent5>
        <a:srgbClr val="414D61"/>
      </a:accent5>
      <a:accent6>
        <a:srgbClr val="00A79D"/>
      </a:accent6>
      <a:hlink>
        <a:srgbClr val="00A9CE"/>
      </a:hlink>
      <a:folHlink>
        <a:srgbClr val="006C91"/>
      </a:folHlink>
    </a:clrScheme>
    <a:fontScheme name="UC-Rebran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6209D-2BAE-4244-9A12-C6D29FBE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1495</Words>
  <Characters>8675</Characters>
  <Application>Microsoft Office Word</Application>
  <DocSecurity>0</DocSecurity>
  <Lines>177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Canberra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Stephanie.Payne</cp:lastModifiedBy>
  <cp:revision>3</cp:revision>
  <dcterms:created xsi:type="dcterms:W3CDTF">2026-04-10T00:08:00Z</dcterms:created>
  <dcterms:modified xsi:type="dcterms:W3CDTF">2026-04-10T00:09:00Z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2023-01-24T01:04:49Z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7ebf7fd9-7c8d-4c45-8361-f9d48207986f</vt:lpwstr>
  </property>
  <property fmtid="{D5CDD505-2E9C-101B-9397-08002B2CF9AE}" pid="8" name="MSIP_Label_bf6fef03-d487-4433-8e43-6b81c0a1b7be_ContentBits">
    <vt:lpwstr>0</vt:lpwstr>
  </property>
</Properties>
</file>