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97FA6" w14:textId="32FE8207" w:rsidR="00CD171A" w:rsidRDefault="00CD171A" w:rsidP="00D86959">
      <w:pPr>
        <w:pStyle w:val="Heading1"/>
      </w:pPr>
      <w:r>
        <w:t xml:space="preserve">University </w:t>
      </w:r>
      <w:r w:rsidR="00772A82">
        <w:t>Elections</w:t>
      </w:r>
    </w:p>
    <w:p w14:paraId="4842C9E3" w14:textId="21F06A22" w:rsidR="00D86959" w:rsidRDefault="00772A82" w:rsidP="00D86959">
      <w:pPr>
        <w:pStyle w:val="Heading2"/>
      </w:pPr>
      <w:r>
        <w:t xml:space="preserve">Fact Sheet for </w:t>
      </w:r>
      <w:r w:rsidR="001D3E95">
        <w:t>Academic Board</w:t>
      </w:r>
      <w:r w:rsidR="00AC5E85">
        <w:t xml:space="preserve"> </w:t>
      </w:r>
      <w:r>
        <w:t>Nominees</w:t>
      </w:r>
    </w:p>
    <w:p w14:paraId="181A3728" w14:textId="77777777" w:rsidR="002D3C5E" w:rsidRPr="002D3C5E" w:rsidRDefault="002D3C5E" w:rsidP="002D3C5E"/>
    <w:p w14:paraId="1EA56CF8" w14:textId="0427D20C" w:rsidR="00D3635D" w:rsidRDefault="00D3635D" w:rsidP="00CD171A">
      <w:pPr>
        <w:pStyle w:val="Heading3"/>
        <w:numPr>
          <w:ilvl w:val="0"/>
          <w:numId w:val="3"/>
        </w:numPr>
        <w:ind w:left="426" w:hanging="426"/>
        <w:rPr>
          <w:rFonts w:asciiTheme="minorHAnsi" w:hAnsiTheme="minorHAnsi" w:cstheme="minorHAnsi"/>
          <w:color w:val="auto"/>
          <w:sz w:val="24"/>
          <w:szCs w:val="24"/>
        </w:rPr>
      </w:pPr>
      <w:r>
        <w:rPr>
          <w:rFonts w:asciiTheme="minorHAnsi" w:hAnsiTheme="minorHAnsi" w:cstheme="minorHAnsi"/>
          <w:color w:val="auto"/>
          <w:sz w:val="24"/>
          <w:szCs w:val="24"/>
        </w:rPr>
        <w:t>WHAT IS ACADEMIC BOARD?</w:t>
      </w:r>
    </w:p>
    <w:p w14:paraId="6F7BD2AF" w14:textId="38AB5090" w:rsidR="00D3635D" w:rsidRPr="00D3635D" w:rsidRDefault="00D3635D" w:rsidP="00D3635D">
      <w:pPr>
        <w:ind w:left="426"/>
        <w:rPr>
          <w:color w:val="auto"/>
          <w:sz w:val="22"/>
          <w:szCs w:val="24"/>
        </w:rPr>
      </w:pPr>
      <w:r>
        <w:rPr>
          <w:color w:val="auto"/>
          <w:sz w:val="22"/>
          <w:szCs w:val="24"/>
        </w:rPr>
        <w:t xml:space="preserve">Academic </w:t>
      </w:r>
      <w:r w:rsidRPr="00D3635D">
        <w:rPr>
          <w:color w:val="auto"/>
          <w:sz w:val="22"/>
          <w:szCs w:val="24"/>
        </w:rPr>
        <w:t>Board is the University's peak academic decision-making and governance body. Responsible to Council for the effective exercise of delegated authority across all academic matters, Academic Board oversees academic quality, standards, policy, course accreditation, academic risk, teaching and learning, research and the student experience. The Board plays a critical role in shaping the University's academic direction and ensuring that its educational and research activities meet legislative, regulatory and institutional expectations.</w:t>
      </w:r>
    </w:p>
    <w:p w14:paraId="4D09C6F9" w14:textId="7EADFE90" w:rsidR="00CD171A" w:rsidRPr="00CD171A" w:rsidRDefault="00CD171A" w:rsidP="00CD171A">
      <w:pPr>
        <w:pStyle w:val="Heading3"/>
        <w:numPr>
          <w:ilvl w:val="0"/>
          <w:numId w:val="3"/>
        </w:numPr>
        <w:ind w:left="426" w:hanging="426"/>
        <w:rPr>
          <w:rFonts w:asciiTheme="minorHAnsi" w:hAnsiTheme="minorHAnsi" w:cstheme="minorHAnsi"/>
          <w:color w:val="auto"/>
          <w:sz w:val="24"/>
          <w:szCs w:val="24"/>
        </w:rPr>
      </w:pPr>
      <w:r w:rsidRPr="00CD171A">
        <w:rPr>
          <w:rFonts w:asciiTheme="minorHAnsi" w:hAnsiTheme="minorHAnsi" w:cstheme="minorHAnsi"/>
          <w:color w:val="auto"/>
          <w:sz w:val="24"/>
          <w:szCs w:val="24"/>
        </w:rPr>
        <w:t>ROLE</w:t>
      </w:r>
      <w:r w:rsidRPr="00CD171A">
        <w:rPr>
          <w:rFonts w:asciiTheme="minorHAnsi" w:hAnsiTheme="minorHAnsi" w:cstheme="minorHAnsi"/>
          <w:color w:val="auto"/>
          <w:spacing w:val="23"/>
          <w:sz w:val="24"/>
          <w:szCs w:val="24"/>
        </w:rPr>
        <w:t xml:space="preserve"> </w:t>
      </w:r>
      <w:r w:rsidRPr="00CD171A">
        <w:rPr>
          <w:rFonts w:asciiTheme="minorHAnsi" w:hAnsiTheme="minorHAnsi" w:cstheme="minorHAnsi"/>
          <w:color w:val="auto"/>
          <w:sz w:val="24"/>
          <w:szCs w:val="24"/>
        </w:rPr>
        <w:t>AND</w:t>
      </w:r>
      <w:r w:rsidRPr="00CD171A">
        <w:rPr>
          <w:rFonts w:asciiTheme="minorHAnsi" w:hAnsiTheme="minorHAnsi" w:cstheme="minorHAnsi"/>
          <w:color w:val="auto"/>
          <w:spacing w:val="8"/>
          <w:sz w:val="24"/>
          <w:szCs w:val="24"/>
        </w:rPr>
        <w:t xml:space="preserve"> </w:t>
      </w:r>
      <w:r w:rsidRPr="00CD171A">
        <w:rPr>
          <w:rFonts w:asciiTheme="minorHAnsi" w:hAnsiTheme="minorHAnsi" w:cstheme="minorHAnsi"/>
          <w:color w:val="auto"/>
          <w:sz w:val="24"/>
          <w:szCs w:val="24"/>
        </w:rPr>
        <w:t>RESPONSIBILITIES</w:t>
      </w:r>
      <w:r w:rsidRPr="00CD171A">
        <w:rPr>
          <w:rFonts w:asciiTheme="minorHAnsi" w:hAnsiTheme="minorHAnsi" w:cstheme="minorHAnsi"/>
          <w:color w:val="auto"/>
          <w:spacing w:val="53"/>
          <w:sz w:val="24"/>
          <w:szCs w:val="24"/>
        </w:rPr>
        <w:t xml:space="preserve"> </w:t>
      </w:r>
      <w:r w:rsidRPr="00CD171A">
        <w:rPr>
          <w:rFonts w:asciiTheme="minorHAnsi" w:hAnsiTheme="minorHAnsi" w:cstheme="minorHAnsi"/>
          <w:color w:val="auto"/>
          <w:sz w:val="24"/>
          <w:szCs w:val="24"/>
        </w:rPr>
        <w:t>OF</w:t>
      </w:r>
      <w:r w:rsidRPr="00CD171A">
        <w:rPr>
          <w:rFonts w:asciiTheme="minorHAnsi" w:hAnsiTheme="minorHAnsi" w:cstheme="minorHAnsi"/>
          <w:color w:val="auto"/>
          <w:spacing w:val="13"/>
          <w:sz w:val="24"/>
          <w:szCs w:val="24"/>
        </w:rPr>
        <w:t xml:space="preserve"> </w:t>
      </w:r>
      <w:r w:rsidR="00D3635D">
        <w:rPr>
          <w:rFonts w:asciiTheme="minorHAnsi" w:hAnsiTheme="minorHAnsi" w:cstheme="minorHAnsi"/>
          <w:color w:val="auto"/>
          <w:sz w:val="24"/>
          <w:szCs w:val="24"/>
        </w:rPr>
        <w:t>ACADEMIC BOARD</w:t>
      </w:r>
      <w:r w:rsidRPr="00CD171A">
        <w:rPr>
          <w:rFonts w:asciiTheme="minorHAnsi" w:hAnsiTheme="minorHAnsi" w:cstheme="minorHAnsi"/>
          <w:color w:val="auto"/>
          <w:sz w:val="24"/>
          <w:szCs w:val="24"/>
        </w:rPr>
        <w:t xml:space="preserve"> </w:t>
      </w:r>
      <w:r w:rsidR="001D3E95">
        <w:rPr>
          <w:rFonts w:asciiTheme="minorHAnsi" w:hAnsiTheme="minorHAnsi" w:cstheme="minorHAnsi"/>
          <w:color w:val="auto"/>
          <w:sz w:val="24"/>
          <w:szCs w:val="24"/>
        </w:rPr>
        <w:t>MEMBERS</w:t>
      </w:r>
    </w:p>
    <w:p w14:paraId="5F02CF47" w14:textId="4B27DDE7" w:rsidR="00CD171A" w:rsidRPr="00CD171A" w:rsidRDefault="00CD171A" w:rsidP="00FA6281">
      <w:pPr>
        <w:spacing w:before="120" w:after="120" w:line="240" w:lineRule="auto"/>
        <w:ind w:left="426"/>
        <w:rPr>
          <w:color w:val="auto"/>
          <w:sz w:val="22"/>
        </w:rPr>
      </w:pPr>
      <w:r w:rsidRPr="00CD171A">
        <w:rPr>
          <w:color w:val="auto"/>
          <w:sz w:val="22"/>
        </w:rPr>
        <w:t xml:space="preserve">The responsibilities of </w:t>
      </w:r>
      <w:r w:rsidR="00D3635D">
        <w:rPr>
          <w:color w:val="auto"/>
          <w:sz w:val="22"/>
        </w:rPr>
        <w:t>Academic Board</w:t>
      </w:r>
      <w:r w:rsidRPr="00CD171A">
        <w:rPr>
          <w:color w:val="auto"/>
          <w:sz w:val="22"/>
        </w:rPr>
        <w:t xml:space="preserve"> are listed in th</w:t>
      </w:r>
      <w:r w:rsidR="00D3635D">
        <w:rPr>
          <w:color w:val="auto"/>
          <w:sz w:val="22"/>
        </w:rPr>
        <w:t xml:space="preserve">e </w:t>
      </w:r>
      <w:hyperlink r:id="rId8" w:history="1">
        <w:r w:rsidR="00D3635D" w:rsidRPr="00D3635D">
          <w:rPr>
            <w:rStyle w:val="Hyperlink"/>
            <w:sz w:val="22"/>
          </w:rPr>
          <w:t>Academic Board Rules 2026</w:t>
        </w:r>
      </w:hyperlink>
      <w:r w:rsidR="00D3635D">
        <w:rPr>
          <w:color w:val="auto"/>
          <w:sz w:val="22"/>
        </w:rPr>
        <w:t>.</w:t>
      </w:r>
      <w:r w:rsidR="00FA6281">
        <w:rPr>
          <w:color w:val="auto"/>
          <w:sz w:val="22"/>
        </w:rPr>
        <w:t xml:space="preserve"> </w:t>
      </w:r>
      <w:r w:rsidR="00D3635D">
        <w:rPr>
          <w:color w:val="auto"/>
          <w:sz w:val="22"/>
        </w:rPr>
        <w:t>Board</w:t>
      </w:r>
      <w:r w:rsidRPr="00CD171A">
        <w:rPr>
          <w:color w:val="auto"/>
          <w:sz w:val="22"/>
        </w:rPr>
        <w:t xml:space="preserve"> members must:</w:t>
      </w:r>
    </w:p>
    <w:p w14:paraId="28C87DD1" w14:textId="77777777" w:rsidR="00D3635D" w:rsidRDefault="00D3635D" w:rsidP="00D3635D">
      <w:pPr>
        <w:pStyle w:val="ListParagraph"/>
        <w:widowControl w:val="0"/>
        <w:numPr>
          <w:ilvl w:val="0"/>
          <w:numId w:val="7"/>
        </w:numPr>
        <w:spacing w:after="120" w:line="240" w:lineRule="auto"/>
      </w:pPr>
      <w:r w:rsidRPr="00D3635D">
        <w:t>act in the best interests of the University;</w:t>
      </w:r>
    </w:p>
    <w:p w14:paraId="700107DD" w14:textId="1E2CF4A6" w:rsidR="00D3635D" w:rsidRPr="00CD171A" w:rsidRDefault="00D3635D" w:rsidP="00D3635D">
      <w:pPr>
        <w:pStyle w:val="ListParagraph"/>
        <w:widowControl w:val="0"/>
        <w:numPr>
          <w:ilvl w:val="0"/>
          <w:numId w:val="7"/>
        </w:numPr>
        <w:spacing w:after="120" w:line="240" w:lineRule="auto"/>
      </w:pPr>
      <w:r>
        <w:t xml:space="preserve">exercise reasonable care and diligence, including ensuring appropriate preparation for meetings by reading the agenda and associated papers, offering their full attention during all proceedings, engaging in discussion, asking questions related to the responsibilities of Board and providing constructive feedback; </w:t>
      </w:r>
    </w:p>
    <w:p w14:paraId="0CA4C421" w14:textId="06429FE3" w:rsidR="00CD171A" w:rsidRDefault="00D3635D" w:rsidP="00D3635D">
      <w:pPr>
        <w:pStyle w:val="ListParagraph"/>
        <w:widowControl w:val="0"/>
        <w:numPr>
          <w:ilvl w:val="0"/>
          <w:numId w:val="7"/>
        </w:numPr>
        <w:spacing w:before="120" w:after="120" w:line="240" w:lineRule="auto"/>
      </w:pPr>
      <w:r>
        <w:t>avoid conflicts of interest and disclose to the Board any conflict between the member’s interests and the University’s interests in accordance with relevant University policies, procedures or guidelines;</w:t>
      </w:r>
    </w:p>
    <w:p w14:paraId="7B30B8CA" w14:textId="3954D9DF" w:rsidR="00D3635D" w:rsidRDefault="00D3635D" w:rsidP="00D3635D">
      <w:pPr>
        <w:pStyle w:val="ListParagraph"/>
        <w:widowControl w:val="0"/>
        <w:numPr>
          <w:ilvl w:val="0"/>
          <w:numId w:val="7"/>
        </w:numPr>
        <w:spacing w:before="120" w:after="120" w:line="240" w:lineRule="auto"/>
      </w:pPr>
      <w:r>
        <w:t>not improperly use their position, or information obtained because of their position, to gain an advantage for themselves or someone else, or cause detriment to the University or someone else.</w:t>
      </w:r>
    </w:p>
    <w:p w14:paraId="69AADD90" w14:textId="414277F6" w:rsidR="00D3635D" w:rsidRDefault="00D3635D" w:rsidP="00D3635D">
      <w:pPr>
        <w:pStyle w:val="ListParagraph"/>
        <w:widowControl w:val="0"/>
        <w:numPr>
          <w:ilvl w:val="0"/>
          <w:numId w:val="7"/>
        </w:numPr>
        <w:spacing w:before="120" w:after="120" w:line="240" w:lineRule="auto"/>
      </w:pPr>
      <w:r>
        <w:t>Contribute to decision making through active participation, exchange of ideas, and provision of expert insights into topical discussions;</w:t>
      </w:r>
    </w:p>
    <w:p w14:paraId="764FE1CD" w14:textId="2EA656A4" w:rsidR="00D3635D" w:rsidRDefault="00D3635D" w:rsidP="00D3635D">
      <w:pPr>
        <w:pStyle w:val="ListParagraph"/>
        <w:widowControl w:val="0"/>
        <w:numPr>
          <w:ilvl w:val="0"/>
          <w:numId w:val="7"/>
        </w:numPr>
        <w:spacing w:before="120" w:after="120" w:line="240" w:lineRule="auto"/>
      </w:pPr>
      <w:r>
        <w:t>be the point of contact between the area they represent and the Board; and</w:t>
      </w:r>
    </w:p>
    <w:p w14:paraId="1EA771C9" w14:textId="4001BA36" w:rsidR="00D3635D" w:rsidRDefault="00D3635D" w:rsidP="00D3635D">
      <w:pPr>
        <w:pStyle w:val="ListParagraph"/>
        <w:widowControl w:val="0"/>
        <w:numPr>
          <w:ilvl w:val="0"/>
          <w:numId w:val="7"/>
        </w:numPr>
        <w:spacing w:before="120" w:after="120" w:line="240" w:lineRule="auto"/>
      </w:pPr>
      <w:r>
        <w:t>share relevant information and provide feedback to the area the member represents.</w:t>
      </w:r>
      <w:r w:rsidR="001D3E95">
        <w:br/>
      </w:r>
    </w:p>
    <w:p w14:paraId="114C13C6" w14:textId="77777777" w:rsidR="001D3E95" w:rsidRPr="00CD171A" w:rsidRDefault="001D3E95" w:rsidP="001D3E95">
      <w:pPr>
        <w:pStyle w:val="ListParagraph"/>
        <w:widowControl w:val="0"/>
        <w:numPr>
          <w:ilvl w:val="0"/>
          <w:numId w:val="3"/>
        </w:numPr>
        <w:spacing w:before="240" w:after="120" w:line="240" w:lineRule="auto"/>
        <w:ind w:left="425" w:hanging="425"/>
        <w:contextualSpacing w:val="0"/>
        <w:rPr>
          <w:b/>
          <w:bCs/>
          <w:sz w:val="24"/>
          <w:szCs w:val="24"/>
          <w:lang w:val="en-US"/>
        </w:rPr>
      </w:pPr>
      <w:r>
        <w:rPr>
          <w:b/>
          <w:bCs/>
          <w:sz w:val="24"/>
          <w:szCs w:val="24"/>
          <w:lang w:val="en-US"/>
        </w:rPr>
        <w:t>MATTERS CONSIDERED BY ACADEMIC BOARD</w:t>
      </w:r>
    </w:p>
    <w:p w14:paraId="2E9F43A2" w14:textId="77777777" w:rsidR="001D3E95" w:rsidRPr="00CD171A" w:rsidRDefault="001D3E95" w:rsidP="001D3E95">
      <w:pPr>
        <w:spacing w:before="120" w:after="120" w:line="240" w:lineRule="auto"/>
        <w:ind w:left="426"/>
        <w:rPr>
          <w:color w:val="auto"/>
          <w:sz w:val="22"/>
          <w:lang w:val="en-US"/>
        </w:rPr>
      </w:pPr>
      <w:r w:rsidRPr="00CD171A">
        <w:rPr>
          <w:color w:val="auto"/>
          <w:sz w:val="22"/>
          <w:lang w:val="en-US"/>
        </w:rPr>
        <w:t xml:space="preserve">Some examples of the </w:t>
      </w:r>
      <w:r>
        <w:rPr>
          <w:color w:val="auto"/>
          <w:sz w:val="22"/>
          <w:lang w:val="en-US"/>
        </w:rPr>
        <w:t>activities of</w:t>
      </w:r>
      <w:r w:rsidRPr="00CD171A">
        <w:rPr>
          <w:color w:val="auto"/>
          <w:sz w:val="22"/>
          <w:lang w:val="en-US"/>
        </w:rPr>
        <w:t xml:space="preserve"> </w:t>
      </w:r>
      <w:r>
        <w:rPr>
          <w:color w:val="auto"/>
          <w:sz w:val="22"/>
          <w:lang w:val="en-US"/>
        </w:rPr>
        <w:t>Academic Board</w:t>
      </w:r>
      <w:r w:rsidRPr="00CD171A">
        <w:rPr>
          <w:color w:val="auto"/>
          <w:sz w:val="22"/>
          <w:lang w:val="en-US"/>
        </w:rPr>
        <w:t xml:space="preserve"> include:</w:t>
      </w:r>
    </w:p>
    <w:p w14:paraId="2EF27A3D" w14:textId="77777777" w:rsidR="001D3E95" w:rsidRDefault="001D3E95" w:rsidP="001D3E95">
      <w:pPr>
        <w:pStyle w:val="ListParagraph"/>
        <w:numPr>
          <w:ilvl w:val="0"/>
          <w:numId w:val="2"/>
        </w:numPr>
        <w:spacing w:before="120" w:after="120" w:line="240" w:lineRule="auto"/>
        <w:ind w:left="851" w:hanging="425"/>
        <w:rPr>
          <w:lang w:val="en-US"/>
        </w:rPr>
      </w:pPr>
      <w:r>
        <w:rPr>
          <w:lang w:val="en-US"/>
        </w:rPr>
        <w:t>Providing advice to Council and the Vice-Chancellor on the University’s academic priorities, strategy and performance.</w:t>
      </w:r>
    </w:p>
    <w:p w14:paraId="27484E94" w14:textId="77777777" w:rsidR="001D3E95" w:rsidRDefault="001D3E95" w:rsidP="001D3E95">
      <w:pPr>
        <w:pStyle w:val="ListParagraph"/>
        <w:numPr>
          <w:ilvl w:val="0"/>
          <w:numId w:val="2"/>
        </w:numPr>
        <w:spacing w:before="120" w:after="120" w:line="240" w:lineRule="auto"/>
        <w:ind w:left="851" w:hanging="425"/>
        <w:rPr>
          <w:lang w:val="en-US"/>
        </w:rPr>
      </w:pPr>
      <w:r>
        <w:rPr>
          <w:lang w:val="en-US"/>
        </w:rPr>
        <w:t>Considering emerging issues in higher education and helping shape the University’s academic future.</w:t>
      </w:r>
    </w:p>
    <w:p w14:paraId="1BFB4422" w14:textId="77777777" w:rsidR="001D3E95" w:rsidRDefault="001D3E95" w:rsidP="001D3E95">
      <w:pPr>
        <w:pStyle w:val="ListParagraph"/>
        <w:numPr>
          <w:ilvl w:val="0"/>
          <w:numId w:val="2"/>
        </w:numPr>
        <w:spacing w:before="120" w:after="120" w:line="240" w:lineRule="auto"/>
        <w:ind w:left="851" w:hanging="425"/>
        <w:rPr>
          <w:lang w:val="en-US"/>
        </w:rPr>
      </w:pPr>
      <w:r>
        <w:rPr>
          <w:lang w:val="en-US"/>
        </w:rPr>
        <w:t>Approving and reviewing University academic policies covering teaching, learning, assessment, admissions, academic progress, research and research training.</w:t>
      </w:r>
    </w:p>
    <w:p w14:paraId="117180F4" w14:textId="77777777" w:rsidR="001D3E95" w:rsidRDefault="001D3E95" w:rsidP="001D3E95">
      <w:pPr>
        <w:pStyle w:val="ListParagraph"/>
        <w:numPr>
          <w:ilvl w:val="0"/>
          <w:numId w:val="2"/>
        </w:numPr>
        <w:spacing w:before="120" w:after="120" w:line="240" w:lineRule="auto"/>
        <w:ind w:left="851" w:hanging="425"/>
        <w:rPr>
          <w:lang w:val="en-US"/>
        </w:rPr>
      </w:pPr>
      <w:r>
        <w:rPr>
          <w:lang w:val="en-US"/>
        </w:rPr>
        <w:t>Accrediting and reaccrediting of courses, and approving significant changes to programs, curricula and learning outcomes.</w:t>
      </w:r>
    </w:p>
    <w:p w14:paraId="4A6CD7BF" w14:textId="77777777" w:rsidR="001D3E95" w:rsidRDefault="001D3E95" w:rsidP="001D3E95">
      <w:pPr>
        <w:pStyle w:val="ListParagraph"/>
        <w:numPr>
          <w:ilvl w:val="0"/>
          <w:numId w:val="2"/>
        </w:numPr>
        <w:spacing w:before="120" w:after="120" w:line="240" w:lineRule="auto"/>
        <w:ind w:left="851" w:hanging="425"/>
        <w:rPr>
          <w:lang w:val="en-US"/>
        </w:rPr>
      </w:pPr>
      <w:r>
        <w:rPr>
          <w:lang w:val="en-US"/>
        </w:rPr>
        <w:t xml:space="preserve">Monitoring academic quality, standards and student outcomes across the University. </w:t>
      </w:r>
    </w:p>
    <w:p w14:paraId="4C9DA2B0" w14:textId="77777777" w:rsidR="001D3E95" w:rsidRDefault="001D3E95" w:rsidP="001D3E95">
      <w:pPr>
        <w:pStyle w:val="ListParagraph"/>
        <w:numPr>
          <w:ilvl w:val="0"/>
          <w:numId w:val="2"/>
        </w:numPr>
        <w:spacing w:before="120" w:after="120" w:line="240" w:lineRule="auto"/>
        <w:ind w:left="851" w:hanging="425"/>
        <w:rPr>
          <w:lang w:val="en-US"/>
        </w:rPr>
      </w:pPr>
      <w:r>
        <w:rPr>
          <w:lang w:val="en-US"/>
        </w:rPr>
        <w:t>Overseeing academic risk, integrity and compliance with national higher education standards.</w:t>
      </w:r>
    </w:p>
    <w:p w14:paraId="7576A21A" w14:textId="1D5183AF" w:rsidR="001D3E95" w:rsidRPr="001D3E95" w:rsidRDefault="001D3E95" w:rsidP="001D3E95">
      <w:pPr>
        <w:pStyle w:val="ListParagraph"/>
        <w:numPr>
          <w:ilvl w:val="0"/>
          <w:numId w:val="2"/>
        </w:numPr>
        <w:spacing w:before="120" w:after="120" w:line="240" w:lineRule="auto"/>
        <w:ind w:left="851" w:hanging="425"/>
        <w:rPr>
          <w:lang w:val="en-US"/>
        </w:rPr>
      </w:pPr>
      <w:r>
        <w:rPr>
          <w:lang w:val="en-US"/>
        </w:rPr>
        <w:lastRenderedPageBreak/>
        <w:t xml:space="preserve">Reviewing student experience, including educational innovation, learning support and academic success. </w:t>
      </w:r>
      <w:r>
        <w:rPr>
          <w:lang w:val="en-US"/>
        </w:rPr>
        <w:br/>
      </w:r>
    </w:p>
    <w:p w14:paraId="708555CC" w14:textId="77777777" w:rsidR="00CD171A" w:rsidRPr="00CD171A" w:rsidRDefault="00CD171A" w:rsidP="00CD171A">
      <w:pPr>
        <w:pStyle w:val="ListParagraph"/>
        <w:widowControl w:val="0"/>
        <w:numPr>
          <w:ilvl w:val="0"/>
          <w:numId w:val="3"/>
        </w:numPr>
        <w:spacing w:before="240" w:after="120" w:line="240" w:lineRule="auto"/>
        <w:ind w:left="425" w:hanging="425"/>
        <w:contextualSpacing w:val="0"/>
        <w:rPr>
          <w:sz w:val="20"/>
          <w:szCs w:val="20"/>
        </w:rPr>
      </w:pPr>
      <w:r w:rsidRPr="00CD171A">
        <w:rPr>
          <w:b/>
          <w:bCs/>
          <w:sz w:val="24"/>
          <w:szCs w:val="24"/>
          <w:lang w:val="en-US"/>
        </w:rPr>
        <w:t>TIME COMMITMENT</w:t>
      </w:r>
    </w:p>
    <w:p w14:paraId="3F176C56" w14:textId="00424BBE" w:rsidR="00FA6281" w:rsidRDefault="00D3635D" w:rsidP="00FA6281">
      <w:pPr>
        <w:pStyle w:val="ListParagraph"/>
        <w:numPr>
          <w:ilvl w:val="0"/>
          <w:numId w:val="8"/>
        </w:numPr>
        <w:spacing w:before="120" w:after="120" w:line="240" w:lineRule="auto"/>
        <w:contextualSpacing w:val="0"/>
        <w:rPr>
          <w:lang w:val="en-US"/>
        </w:rPr>
      </w:pPr>
      <w:r w:rsidRPr="00D3635D">
        <w:rPr>
          <w:lang w:val="en-US"/>
        </w:rPr>
        <w:t>Academic Board normally holds six ordinary meetings</w:t>
      </w:r>
      <w:r w:rsidR="00FA6281">
        <w:rPr>
          <w:lang w:val="en-US"/>
        </w:rPr>
        <w:t>, 3 hours in duration,</w:t>
      </w:r>
      <w:r w:rsidRPr="00D3635D">
        <w:rPr>
          <w:lang w:val="en-US"/>
        </w:rPr>
        <w:t xml:space="preserve"> each calendar year. Special or urgent meetings may also be held when required.</w:t>
      </w:r>
      <w:r w:rsidR="00FA6281">
        <w:rPr>
          <w:lang w:val="en-US"/>
        </w:rPr>
        <w:t xml:space="preserve"> Generally, these are no longer than two hours and it is rare for there to be more than one or two special meetings per year.</w:t>
      </w:r>
    </w:p>
    <w:p w14:paraId="7C4CAFA4" w14:textId="43CEC941" w:rsidR="00CD171A" w:rsidRDefault="00D3635D" w:rsidP="00FA6281">
      <w:pPr>
        <w:pStyle w:val="ListParagraph"/>
        <w:numPr>
          <w:ilvl w:val="0"/>
          <w:numId w:val="8"/>
        </w:numPr>
        <w:spacing w:before="120" w:after="120" w:line="240" w:lineRule="auto"/>
        <w:contextualSpacing w:val="0"/>
        <w:rPr>
          <w:lang w:val="en-US"/>
        </w:rPr>
      </w:pPr>
      <w:r w:rsidRPr="00FA6281">
        <w:t>Meeting papers are generally made available five business days before a meeting and no later than four business days before the meeting. Members should allow sufficient time to read the agenda and papers, understand the matters being considered and prepare for informed participation.</w:t>
      </w:r>
      <w:r w:rsidR="00FA6281">
        <w:t xml:space="preserve"> </w:t>
      </w:r>
      <w:r w:rsidR="00CD171A" w:rsidRPr="00FA6281">
        <w:rPr>
          <w:lang w:val="en-US"/>
        </w:rPr>
        <w:t>Support is available to assist in understanding the issues</w:t>
      </w:r>
      <w:r w:rsidR="00AC5E85" w:rsidRPr="00FA6281">
        <w:rPr>
          <w:lang w:val="en-US"/>
        </w:rPr>
        <w:t xml:space="preserve"> under consideration</w:t>
      </w:r>
      <w:r w:rsidR="00CD171A" w:rsidRPr="00FA6281">
        <w:rPr>
          <w:lang w:val="en-US"/>
        </w:rPr>
        <w:t xml:space="preserve">.  </w:t>
      </w:r>
    </w:p>
    <w:p w14:paraId="30425C97" w14:textId="1F246342" w:rsidR="00FA6281" w:rsidRPr="00FA6281" w:rsidRDefault="00FA6281" w:rsidP="00FA6281">
      <w:pPr>
        <w:pStyle w:val="ListParagraph"/>
        <w:numPr>
          <w:ilvl w:val="0"/>
          <w:numId w:val="8"/>
        </w:numPr>
        <w:spacing w:before="120" w:after="120" w:line="240" w:lineRule="auto"/>
        <w:contextualSpacing w:val="0"/>
        <w:rPr>
          <w:lang w:val="en-US"/>
        </w:rPr>
      </w:pPr>
      <w:r>
        <w:rPr>
          <w:lang w:val="en-US"/>
        </w:rPr>
        <w:t xml:space="preserve">Elected staff and student members serve a two-year term, commencing 1 January following the election. </w:t>
      </w:r>
      <w:r w:rsidRPr="00FA6281">
        <w:rPr>
          <w:lang w:val="en-US"/>
        </w:rPr>
        <w:t>Members may be eligible for re-election, subject to the applicable legislation, Rules and maximum-term requirements.</w:t>
      </w:r>
      <w:r w:rsidR="001D3E95">
        <w:rPr>
          <w:lang w:val="en-US"/>
        </w:rPr>
        <w:br/>
      </w:r>
    </w:p>
    <w:p w14:paraId="597A8396" w14:textId="504C4EE2" w:rsidR="00D86959" w:rsidRPr="00CB5385" w:rsidRDefault="001D3E95" w:rsidP="00CB5385">
      <w:pPr>
        <w:rPr>
          <w:b/>
          <w:bCs/>
          <w:color w:val="auto"/>
          <w:sz w:val="24"/>
          <w:szCs w:val="24"/>
          <w:lang w:val="en-US"/>
        </w:rPr>
      </w:pPr>
      <w:r w:rsidRPr="001D3E95">
        <w:rPr>
          <w:b/>
          <w:bCs/>
          <w:color w:val="auto"/>
          <w:sz w:val="22"/>
          <w:lang w:val="en-US"/>
        </w:rPr>
        <w:t xml:space="preserve">If you would like to learn more about Academic Board, please refer to: </w:t>
      </w:r>
      <w:hyperlink r:id="rId9" w:history="1">
        <w:r w:rsidRPr="001D3E95">
          <w:rPr>
            <w:rStyle w:val="Hyperlink"/>
            <w:b/>
            <w:bCs/>
            <w:sz w:val="22"/>
            <w:lang w:val="en-US"/>
          </w:rPr>
          <w:t>https://www.canberra.edu.au/about-uc/governance/academic-board</w:t>
        </w:r>
      </w:hyperlink>
      <w:r w:rsidRPr="001D3E95">
        <w:rPr>
          <w:b/>
          <w:bCs/>
          <w:color w:val="auto"/>
          <w:sz w:val="22"/>
          <w:lang w:val="en-US"/>
        </w:rPr>
        <w:t xml:space="preserve"> or </w:t>
      </w:r>
      <w:r w:rsidRPr="001D3E95">
        <w:rPr>
          <w:color w:val="auto"/>
          <w:sz w:val="22"/>
          <w:lang w:val="en-US"/>
        </w:rPr>
        <w:t xml:space="preserve">contact </w:t>
      </w:r>
      <w:hyperlink r:id="rId10" w:history="1">
        <w:r w:rsidRPr="001D3E95">
          <w:rPr>
            <w:rStyle w:val="Hyperlink"/>
            <w:b/>
            <w:bCs/>
            <w:sz w:val="22"/>
            <w:lang w:val="en-US"/>
          </w:rPr>
          <w:t>academic.governance@canebrra.edu.au</w:t>
        </w:r>
      </w:hyperlink>
      <w:r w:rsidRPr="001D3E95">
        <w:rPr>
          <w:color w:val="auto"/>
          <w:sz w:val="22"/>
          <w:lang w:val="en-US"/>
        </w:rPr>
        <w:t>.</w:t>
      </w:r>
      <w:r w:rsidRPr="001D3E95">
        <w:rPr>
          <w:b/>
          <w:bCs/>
          <w:color w:val="auto"/>
          <w:sz w:val="22"/>
          <w:lang w:val="en-US"/>
        </w:rPr>
        <w:t xml:space="preserve"> </w:t>
      </w:r>
    </w:p>
    <w:sectPr w:rsidR="00D86959" w:rsidRPr="00CB5385" w:rsidSect="00D626ED">
      <w:headerReference w:type="default" r:id="rId11"/>
      <w:footerReference w:type="default" r:id="rId12"/>
      <w:endnotePr>
        <w:numFmt w:val="decimal"/>
      </w:endnotePr>
      <w:pgSz w:w="11906" w:h="16838"/>
      <w:pgMar w:top="2268" w:right="851" w:bottom="1871" w:left="851" w:header="85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8D021" w14:textId="77777777" w:rsidR="00FA58E6" w:rsidRDefault="00FA58E6" w:rsidP="00D86959">
      <w:pPr>
        <w:spacing w:after="0" w:line="240" w:lineRule="auto"/>
      </w:pPr>
      <w:r>
        <w:separator/>
      </w:r>
    </w:p>
  </w:endnote>
  <w:endnote w:type="continuationSeparator" w:id="0">
    <w:p w14:paraId="3CBB1175" w14:textId="77777777" w:rsidR="00FA58E6" w:rsidRDefault="00FA58E6" w:rsidP="00D86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yriad Pro">
    <w:altName w:val="Segoe UI"/>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4159193"/>
      <w:docPartObj>
        <w:docPartGallery w:val="Page Numbers (Bottom of Page)"/>
        <w:docPartUnique/>
      </w:docPartObj>
    </w:sdtPr>
    <w:sdtEndPr>
      <w:rPr>
        <w:noProof/>
      </w:rPr>
    </w:sdtEndPr>
    <w:sdtContent>
      <w:p w14:paraId="5B78B6A5" w14:textId="39E44D3C" w:rsidR="00D464BC" w:rsidRDefault="00D626ED" w:rsidP="00E50B6C">
        <w:pPr>
          <w:pStyle w:val="Footer"/>
          <w:ind w:firstLine="720"/>
          <w:jc w:val="right"/>
        </w:pPr>
        <w:r>
          <w:rPr>
            <w:b/>
            <w:noProof/>
            <w:color w:val="00A9CE" w:themeColor="accent1"/>
          </w:rPr>
          <w:drawing>
            <wp:anchor distT="0" distB="0" distL="114300" distR="114300" simplePos="0" relativeHeight="251659264" behindDoc="1" locked="0" layoutInCell="1" allowOverlap="1" wp14:anchorId="0673D9A2" wp14:editId="3DC47ED4">
              <wp:simplePos x="0" y="0"/>
              <wp:positionH relativeFrom="column">
                <wp:posOffset>635</wp:posOffset>
              </wp:positionH>
              <wp:positionV relativeFrom="paragraph">
                <wp:posOffset>-94517</wp:posOffset>
              </wp:positionV>
              <wp:extent cx="6479540" cy="30777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6479540" cy="307778"/>
                      </a:xfrm>
                      <a:prstGeom prst="rect">
                        <a:avLst/>
                      </a:prstGeom>
                    </pic:spPr>
                  </pic:pic>
                </a:graphicData>
              </a:graphic>
              <wp14:sizeRelH relativeFrom="page">
                <wp14:pctWidth>0</wp14:pctWidth>
              </wp14:sizeRelH>
              <wp14:sizeRelV relativeFrom="page">
                <wp14:pctHeight>0</wp14:pctHeight>
              </wp14:sizeRelV>
            </wp:anchor>
          </w:drawing>
        </w:r>
        <w:r w:rsidR="00D464BC" w:rsidRPr="00D464BC">
          <w:rPr>
            <w:b/>
            <w:color w:val="00A9CE" w:themeColor="accent1"/>
          </w:rPr>
          <w:fldChar w:fldCharType="begin"/>
        </w:r>
        <w:r w:rsidR="00D464BC" w:rsidRPr="00D464BC">
          <w:rPr>
            <w:b/>
            <w:color w:val="00A9CE" w:themeColor="accent1"/>
          </w:rPr>
          <w:instrText xml:space="preserve"> PAGE   \* MERGEFORMAT </w:instrText>
        </w:r>
        <w:r w:rsidR="00D464BC" w:rsidRPr="00D464BC">
          <w:rPr>
            <w:b/>
            <w:color w:val="00A9CE" w:themeColor="accent1"/>
          </w:rPr>
          <w:fldChar w:fldCharType="separate"/>
        </w:r>
        <w:r w:rsidR="00F96FB1">
          <w:rPr>
            <w:b/>
            <w:noProof/>
            <w:color w:val="00A9CE" w:themeColor="accent1"/>
          </w:rPr>
          <w:t>1</w:t>
        </w:r>
        <w:r w:rsidR="00D464BC" w:rsidRPr="00D464BC">
          <w:rPr>
            <w:b/>
            <w:noProof/>
            <w:color w:val="00A9CE" w:themeColor="accent1"/>
          </w:rPr>
          <w:fldChar w:fldCharType="end"/>
        </w:r>
      </w:p>
    </w:sdtContent>
  </w:sdt>
  <w:p w14:paraId="4103C736" w14:textId="77777777" w:rsidR="00D464BC" w:rsidRDefault="00D464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A2FF6" w14:textId="77777777" w:rsidR="00FA58E6" w:rsidRDefault="00FA58E6" w:rsidP="00D86959">
      <w:pPr>
        <w:spacing w:after="0" w:line="240" w:lineRule="auto"/>
      </w:pPr>
      <w:r>
        <w:separator/>
      </w:r>
    </w:p>
  </w:footnote>
  <w:footnote w:type="continuationSeparator" w:id="0">
    <w:p w14:paraId="1DB11349" w14:textId="77777777" w:rsidR="00FA58E6" w:rsidRDefault="00FA58E6" w:rsidP="00D869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AB9DB" w14:textId="5CD2552A" w:rsidR="00D626ED" w:rsidRDefault="006936D4">
    <w:pPr>
      <w:pStyle w:val="Header"/>
    </w:pPr>
    <w:r>
      <w:rPr>
        <w:noProof/>
      </w:rPr>
      <w:drawing>
        <wp:anchor distT="0" distB="0" distL="114300" distR="114300" simplePos="0" relativeHeight="251660288" behindDoc="1" locked="0" layoutInCell="1" allowOverlap="1" wp14:anchorId="0C1A1B01" wp14:editId="0B8EF6BE">
          <wp:simplePos x="0" y="0"/>
          <wp:positionH relativeFrom="column">
            <wp:posOffset>3364349</wp:posOffset>
          </wp:positionH>
          <wp:positionV relativeFrom="paragraph">
            <wp:posOffset>-545928</wp:posOffset>
          </wp:positionV>
          <wp:extent cx="3670881" cy="124185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705877" cy="1253693"/>
                  </a:xfrm>
                  <a:prstGeom prst="rect">
                    <a:avLst/>
                  </a:prstGeom>
                </pic:spPr>
              </pic:pic>
            </a:graphicData>
          </a:graphic>
          <wp14:sizeRelH relativeFrom="page">
            <wp14:pctWidth>0</wp14:pctWidth>
          </wp14:sizeRelH>
          <wp14:sizeRelV relativeFrom="page">
            <wp14:pctHeight>0</wp14:pctHeight>
          </wp14:sizeRelV>
        </wp:anchor>
      </w:drawing>
    </w:r>
    <w:r w:rsidR="00D626ED">
      <w:rPr>
        <w:noProof/>
      </w:rPr>
      <w:drawing>
        <wp:anchor distT="0" distB="0" distL="114300" distR="114300" simplePos="0" relativeHeight="251658240" behindDoc="0" locked="0" layoutInCell="1" allowOverlap="1" wp14:anchorId="17AF8D5C" wp14:editId="1A1A07FB">
          <wp:simplePos x="0" y="0"/>
          <wp:positionH relativeFrom="column">
            <wp:posOffset>635</wp:posOffset>
          </wp:positionH>
          <wp:positionV relativeFrom="paragraph">
            <wp:posOffset>0</wp:posOffset>
          </wp:positionV>
          <wp:extent cx="2113494" cy="43434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2113494" cy="4343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474DA"/>
    <w:multiLevelType w:val="hybridMultilevel"/>
    <w:tmpl w:val="655616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50502B2"/>
    <w:multiLevelType w:val="hybridMultilevel"/>
    <w:tmpl w:val="2E6AF3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1EE2C3C"/>
    <w:multiLevelType w:val="hybridMultilevel"/>
    <w:tmpl w:val="5DBA3F94"/>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3" w15:restartNumberingAfterBreak="0">
    <w:nsid w:val="387766AF"/>
    <w:multiLevelType w:val="hybridMultilevel"/>
    <w:tmpl w:val="214229F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421722A0"/>
    <w:multiLevelType w:val="hybridMultilevel"/>
    <w:tmpl w:val="52169EA4"/>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7272485D"/>
    <w:multiLevelType w:val="hybridMultilevel"/>
    <w:tmpl w:val="94FE6F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7182CE5"/>
    <w:multiLevelType w:val="hybridMultilevel"/>
    <w:tmpl w:val="1AE6395A"/>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7" w15:restartNumberingAfterBreak="0">
    <w:nsid w:val="7D5E6195"/>
    <w:multiLevelType w:val="multilevel"/>
    <w:tmpl w:val="9780A54E"/>
    <w:lvl w:ilvl="0">
      <w:start w:val="1"/>
      <w:numFmt w:val="decimal"/>
      <w:lvlText w:val="%1)"/>
      <w:lvlJc w:val="left"/>
      <w:pPr>
        <w:ind w:left="360" w:hanging="360"/>
      </w:pPr>
      <w:rPr>
        <w:rFonts w:hint="default"/>
        <w:b/>
        <w:bCs/>
        <w:sz w:val="24"/>
        <w:szCs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145590206">
    <w:abstractNumId w:val="1"/>
  </w:num>
  <w:num w:numId="2" w16cid:durableId="1544947654">
    <w:abstractNumId w:val="5"/>
  </w:num>
  <w:num w:numId="3" w16cid:durableId="158153507">
    <w:abstractNumId w:val="7"/>
  </w:num>
  <w:num w:numId="4" w16cid:durableId="1053696010">
    <w:abstractNumId w:val="6"/>
  </w:num>
  <w:num w:numId="5" w16cid:durableId="1620455293">
    <w:abstractNumId w:val="3"/>
  </w:num>
  <w:num w:numId="6" w16cid:durableId="1897083277">
    <w:abstractNumId w:val="4"/>
  </w:num>
  <w:num w:numId="7" w16cid:durableId="1853031702">
    <w:abstractNumId w:val="0"/>
  </w:num>
  <w:num w:numId="8" w16cid:durableId="4354461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6ED"/>
    <w:rsid w:val="0001097C"/>
    <w:rsid w:val="00016DB6"/>
    <w:rsid w:val="000525FA"/>
    <w:rsid w:val="000C2720"/>
    <w:rsid w:val="001521CF"/>
    <w:rsid w:val="00190819"/>
    <w:rsid w:val="001A120A"/>
    <w:rsid w:val="001D3E95"/>
    <w:rsid w:val="0020035C"/>
    <w:rsid w:val="00246D08"/>
    <w:rsid w:val="002D3C5E"/>
    <w:rsid w:val="004D1AD3"/>
    <w:rsid w:val="00517034"/>
    <w:rsid w:val="0053679C"/>
    <w:rsid w:val="0055062A"/>
    <w:rsid w:val="005F6DC0"/>
    <w:rsid w:val="00601CD7"/>
    <w:rsid w:val="00613FAD"/>
    <w:rsid w:val="00674D6E"/>
    <w:rsid w:val="006936D4"/>
    <w:rsid w:val="006D4360"/>
    <w:rsid w:val="006F3BF8"/>
    <w:rsid w:val="00772A82"/>
    <w:rsid w:val="0079575C"/>
    <w:rsid w:val="00823B74"/>
    <w:rsid w:val="008C1A37"/>
    <w:rsid w:val="008F0F17"/>
    <w:rsid w:val="008F1B10"/>
    <w:rsid w:val="0095703C"/>
    <w:rsid w:val="00991A39"/>
    <w:rsid w:val="009C3532"/>
    <w:rsid w:val="00A16B4F"/>
    <w:rsid w:val="00A96274"/>
    <w:rsid w:val="00AB3E9F"/>
    <w:rsid w:val="00AC5E85"/>
    <w:rsid w:val="00AF3E50"/>
    <w:rsid w:val="00B404B1"/>
    <w:rsid w:val="00BF72F9"/>
    <w:rsid w:val="00C726C4"/>
    <w:rsid w:val="00CB5385"/>
    <w:rsid w:val="00CD171A"/>
    <w:rsid w:val="00D3635D"/>
    <w:rsid w:val="00D464BC"/>
    <w:rsid w:val="00D548EA"/>
    <w:rsid w:val="00D626ED"/>
    <w:rsid w:val="00D64D7F"/>
    <w:rsid w:val="00D86144"/>
    <w:rsid w:val="00D86959"/>
    <w:rsid w:val="00E50B6C"/>
    <w:rsid w:val="00EF2B83"/>
    <w:rsid w:val="00EF5F92"/>
    <w:rsid w:val="00F35DB0"/>
    <w:rsid w:val="00F86292"/>
    <w:rsid w:val="00F96FB1"/>
    <w:rsid w:val="00FA58E6"/>
    <w:rsid w:val="00FA6281"/>
    <w:rsid w:val="00FE2E7B"/>
    <w:rsid w:val="00FE3F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F0D63"/>
  <w15:docId w15:val="{C69DD798-DDA2-8F4C-892A-7EE9964C8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1097C"/>
    <w:pPr>
      <w:spacing w:line="264" w:lineRule="auto"/>
    </w:pPr>
    <w:rPr>
      <w:color w:val="414042"/>
      <w:sz w:val="20"/>
    </w:rPr>
  </w:style>
  <w:style w:type="paragraph" w:styleId="Heading1">
    <w:name w:val="heading 1"/>
    <w:basedOn w:val="Normal"/>
    <w:next w:val="Normal"/>
    <w:link w:val="Heading1Char"/>
    <w:uiPriority w:val="9"/>
    <w:qFormat/>
    <w:rsid w:val="00D86959"/>
    <w:pPr>
      <w:keepNext/>
      <w:keepLines/>
      <w:spacing w:after="480" w:line="240" w:lineRule="auto"/>
      <w:outlineLvl w:val="0"/>
    </w:pPr>
    <w:rPr>
      <w:rFonts w:asciiTheme="majorHAnsi" w:eastAsiaTheme="majorEastAsia" w:hAnsiTheme="majorHAnsi" w:cstheme="majorBidi"/>
      <w:b/>
      <w:bCs/>
      <w:color w:val="00A9CE" w:themeColor="accent1"/>
      <w:sz w:val="60"/>
      <w:szCs w:val="28"/>
    </w:rPr>
  </w:style>
  <w:style w:type="paragraph" w:styleId="Heading2">
    <w:name w:val="heading 2"/>
    <w:basedOn w:val="Normal"/>
    <w:next w:val="Normal"/>
    <w:link w:val="Heading2Char"/>
    <w:uiPriority w:val="9"/>
    <w:unhideWhenUsed/>
    <w:qFormat/>
    <w:rsid w:val="00D86959"/>
    <w:pPr>
      <w:keepNext/>
      <w:keepLines/>
      <w:spacing w:after="60" w:line="240" w:lineRule="auto"/>
      <w:outlineLvl w:val="1"/>
    </w:pPr>
    <w:rPr>
      <w:rFonts w:asciiTheme="majorHAnsi" w:eastAsiaTheme="majorEastAsia" w:hAnsiTheme="majorHAnsi" w:cstheme="majorBidi"/>
      <w:b/>
      <w:bCs/>
      <w:color w:val="00A9CE" w:themeColor="accent1"/>
      <w:sz w:val="44"/>
      <w:szCs w:val="26"/>
    </w:rPr>
  </w:style>
  <w:style w:type="paragraph" w:styleId="Heading3">
    <w:name w:val="heading 3"/>
    <w:basedOn w:val="Normal"/>
    <w:next w:val="Normal"/>
    <w:link w:val="Heading3Char"/>
    <w:uiPriority w:val="9"/>
    <w:unhideWhenUsed/>
    <w:qFormat/>
    <w:rsid w:val="00D86959"/>
    <w:pPr>
      <w:keepNext/>
      <w:keepLines/>
      <w:spacing w:after="60"/>
      <w:outlineLvl w:val="2"/>
    </w:pPr>
    <w:rPr>
      <w:rFonts w:asciiTheme="majorHAnsi" w:eastAsiaTheme="majorEastAsia" w:hAnsiTheme="majorHAnsi" w:cstheme="majorBidi"/>
      <w:b/>
      <w:bCs/>
      <w:color w:val="00A9CE" w:themeColor="accent1"/>
      <w:sz w:val="32"/>
    </w:rPr>
  </w:style>
  <w:style w:type="paragraph" w:styleId="Heading4">
    <w:name w:val="heading 4"/>
    <w:basedOn w:val="Normal"/>
    <w:next w:val="Normal"/>
    <w:link w:val="Heading4Char"/>
    <w:uiPriority w:val="9"/>
    <w:unhideWhenUsed/>
    <w:qFormat/>
    <w:rsid w:val="00D86959"/>
    <w:pPr>
      <w:keepNext/>
      <w:keepLines/>
      <w:spacing w:after="60"/>
      <w:outlineLvl w:val="3"/>
    </w:pPr>
    <w:rPr>
      <w:rFonts w:asciiTheme="majorHAnsi" w:eastAsiaTheme="majorEastAsia" w:hAnsiTheme="majorHAnsi" w:cstheme="majorBidi"/>
      <w:bCs/>
      <w:iCs/>
      <w:color w:val="00A9CE" w:themeColor="accent1"/>
      <w:sz w:val="28"/>
    </w:rPr>
  </w:style>
  <w:style w:type="paragraph" w:styleId="Heading5">
    <w:name w:val="heading 5"/>
    <w:basedOn w:val="Normal"/>
    <w:next w:val="Normal"/>
    <w:link w:val="Heading5Char"/>
    <w:uiPriority w:val="9"/>
    <w:unhideWhenUsed/>
    <w:qFormat/>
    <w:rsid w:val="00D86959"/>
    <w:pPr>
      <w:keepNext/>
      <w:keepLines/>
      <w:spacing w:after="60"/>
      <w:outlineLvl w:val="4"/>
    </w:pPr>
    <w:rPr>
      <w:rFonts w:asciiTheme="majorHAnsi" w:eastAsiaTheme="majorEastAsia" w:hAnsiTheme="majorHAnsi" w:cstheme="majorBidi"/>
      <w:color w:val="00A9CE" w:themeColor="accen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69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6959"/>
  </w:style>
  <w:style w:type="paragraph" w:styleId="Footer">
    <w:name w:val="footer"/>
    <w:basedOn w:val="Normal"/>
    <w:link w:val="FooterChar"/>
    <w:uiPriority w:val="99"/>
    <w:unhideWhenUsed/>
    <w:rsid w:val="00D869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6959"/>
  </w:style>
  <w:style w:type="paragraph" w:styleId="BalloonText">
    <w:name w:val="Balloon Text"/>
    <w:basedOn w:val="Normal"/>
    <w:link w:val="BalloonTextChar"/>
    <w:uiPriority w:val="99"/>
    <w:semiHidden/>
    <w:unhideWhenUsed/>
    <w:rsid w:val="00D869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6959"/>
    <w:rPr>
      <w:rFonts w:ascii="Tahoma" w:hAnsi="Tahoma" w:cs="Tahoma"/>
      <w:sz w:val="16"/>
      <w:szCs w:val="16"/>
    </w:rPr>
  </w:style>
  <w:style w:type="character" w:customStyle="1" w:styleId="Heading1Char">
    <w:name w:val="Heading 1 Char"/>
    <w:basedOn w:val="DefaultParagraphFont"/>
    <w:link w:val="Heading1"/>
    <w:uiPriority w:val="9"/>
    <w:rsid w:val="00D86959"/>
    <w:rPr>
      <w:rFonts w:asciiTheme="majorHAnsi" w:eastAsiaTheme="majorEastAsia" w:hAnsiTheme="majorHAnsi" w:cstheme="majorBidi"/>
      <w:b/>
      <w:bCs/>
      <w:color w:val="00A9CE" w:themeColor="accent1"/>
      <w:sz w:val="60"/>
      <w:szCs w:val="28"/>
    </w:rPr>
  </w:style>
  <w:style w:type="character" w:customStyle="1" w:styleId="Heading2Char">
    <w:name w:val="Heading 2 Char"/>
    <w:basedOn w:val="DefaultParagraphFont"/>
    <w:link w:val="Heading2"/>
    <w:uiPriority w:val="9"/>
    <w:rsid w:val="00D86959"/>
    <w:rPr>
      <w:rFonts w:asciiTheme="majorHAnsi" w:eastAsiaTheme="majorEastAsia" w:hAnsiTheme="majorHAnsi" w:cstheme="majorBidi"/>
      <w:b/>
      <w:bCs/>
      <w:color w:val="00A9CE" w:themeColor="accent1"/>
      <w:sz w:val="44"/>
      <w:szCs w:val="26"/>
    </w:rPr>
  </w:style>
  <w:style w:type="paragraph" w:customStyle="1" w:styleId="Default">
    <w:name w:val="Default"/>
    <w:rsid w:val="00D86959"/>
    <w:pPr>
      <w:autoSpaceDE w:val="0"/>
      <w:autoSpaceDN w:val="0"/>
      <w:adjustRightInd w:val="0"/>
      <w:spacing w:after="0" w:line="240" w:lineRule="auto"/>
    </w:pPr>
    <w:rPr>
      <w:rFonts w:ascii="Calibri" w:hAnsi="Calibri" w:cs="Calibri"/>
      <w:color w:val="000000"/>
      <w:sz w:val="24"/>
      <w:szCs w:val="24"/>
    </w:rPr>
  </w:style>
  <w:style w:type="paragraph" w:customStyle="1" w:styleId="Pa4">
    <w:name w:val="Pa4"/>
    <w:basedOn w:val="Default"/>
    <w:next w:val="Default"/>
    <w:uiPriority w:val="99"/>
    <w:rsid w:val="00D86959"/>
    <w:pPr>
      <w:spacing w:line="201" w:lineRule="atLeast"/>
    </w:pPr>
    <w:rPr>
      <w:rFonts w:cstheme="minorBidi"/>
      <w:color w:val="auto"/>
    </w:rPr>
  </w:style>
  <w:style w:type="character" w:customStyle="1" w:styleId="Heading3Char">
    <w:name w:val="Heading 3 Char"/>
    <w:basedOn w:val="DefaultParagraphFont"/>
    <w:link w:val="Heading3"/>
    <w:uiPriority w:val="9"/>
    <w:rsid w:val="00D86959"/>
    <w:rPr>
      <w:rFonts w:asciiTheme="majorHAnsi" w:eastAsiaTheme="majorEastAsia" w:hAnsiTheme="majorHAnsi" w:cstheme="majorBidi"/>
      <w:b/>
      <w:bCs/>
      <w:color w:val="00A9CE" w:themeColor="accent1"/>
      <w:sz w:val="32"/>
    </w:rPr>
  </w:style>
  <w:style w:type="paragraph" w:customStyle="1" w:styleId="Italic">
    <w:name w:val="Italic"/>
    <w:basedOn w:val="Normal"/>
    <w:qFormat/>
    <w:rsid w:val="00D64D7F"/>
    <w:pPr>
      <w:spacing w:before="100"/>
    </w:pPr>
    <w:rPr>
      <w:rFonts w:ascii="Georgia" w:hAnsi="Georgia"/>
      <w:i/>
      <w:color w:val="00A9CE" w:themeColor="accent1"/>
    </w:rPr>
  </w:style>
  <w:style w:type="character" w:customStyle="1" w:styleId="Heading4Char">
    <w:name w:val="Heading 4 Char"/>
    <w:basedOn w:val="DefaultParagraphFont"/>
    <w:link w:val="Heading4"/>
    <w:uiPriority w:val="9"/>
    <w:rsid w:val="00D86959"/>
    <w:rPr>
      <w:rFonts w:asciiTheme="majorHAnsi" w:eastAsiaTheme="majorEastAsia" w:hAnsiTheme="majorHAnsi" w:cstheme="majorBidi"/>
      <w:bCs/>
      <w:iCs/>
      <w:color w:val="00A9CE" w:themeColor="accent1"/>
      <w:sz w:val="28"/>
    </w:rPr>
  </w:style>
  <w:style w:type="character" w:customStyle="1" w:styleId="Heading5Char">
    <w:name w:val="Heading 5 Char"/>
    <w:basedOn w:val="DefaultParagraphFont"/>
    <w:link w:val="Heading5"/>
    <w:uiPriority w:val="9"/>
    <w:rsid w:val="00D86959"/>
    <w:rPr>
      <w:rFonts w:asciiTheme="majorHAnsi" w:eastAsiaTheme="majorEastAsia" w:hAnsiTheme="majorHAnsi" w:cstheme="majorBidi"/>
      <w:color w:val="00A9CE" w:themeColor="accent1"/>
      <w:sz w:val="24"/>
    </w:rPr>
  </w:style>
  <w:style w:type="paragraph" w:styleId="EndnoteText">
    <w:name w:val="endnote text"/>
    <w:basedOn w:val="Normal"/>
    <w:link w:val="EndnoteTextChar"/>
    <w:uiPriority w:val="99"/>
    <w:semiHidden/>
    <w:unhideWhenUsed/>
    <w:rsid w:val="00F35DB0"/>
    <w:pPr>
      <w:spacing w:after="0" w:line="240" w:lineRule="auto"/>
    </w:pPr>
    <w:rPr>
      <w:szCs w:val="20"/>
    </w:rPr>
  </w:style>
  <w:style w:type="character" w:customStyle="1" w:styleId="EndnoteTextChar">
    <w:name w:val="Endnote Text Char"/>
    <w:basedOn w:val="DefaultParagraphFont"/>
    <w:link w:val="EndnoteText"/>
    <w:uiPriority w:val="99"/>
    <w:semiHidden/>
    <w:rsid w:val="00F35DB0"/>
    <w:rPr>
      <w:sz w:val="20"/>
      <w:szCs w:val="20"/>
    </w:rPr>
  </w:style>
  <w:style w:type="character" w:styleId="EndnoteReference">
    <w:name w:val="endnote reference"/>
    <w:basedOn w:val="DefaultParagraphFont"/>
    <w:uiPriority w:val="99"/>
    <w:semiHidden/>
    <w:unhideWhenUsed/>
    <w:rsid w:val="00F35DB0"/>
    <w:rPr>
      <w:vertAlign w:val="superscript"/>
    </w:rPr>
  </w:style>
  <w:style w:type="paragraph" w:customStyle="1" w:styleId="Footnote">
    <w:name w:val="Foot note"/>
    <w:basedOn w:val="Default"/>
    <w:qFormat/>
    <w:rsid w:val="00F35DB0"/>
    <w:rPr>
      <w:rFonts w:asciiTheme="minorHAnsi" w:hAnsiTheme="minorHAnsi" w:cs="Myriad Pro"/>
      <w:color w:val="58595B" w:themeColor="accent2"/>
      <w:sz w:val="16"/>
      <w:szCs w:val="16"/>
    </w:rPr>
  </w:style>
  <w:style w:type="paragraph" w:styleId="FootnoteText">
    <w:name w:val="footnote text"/>
    <w:basedOn w:val="Normal"/>
    <w:link w:val="FootnoteTextChar"/>
    <w:uiPriority w:val="99"/>
    <w:semiHidden/>
    <w:unhideWhenUsed/>
    <w:rsid w:val="00B404B1"/>
    <w:pPr>
      <w:spacing w:after="0" w:line="240" w:lineRule="auto"/>
    </w:pPr>
    <w:rPr>
      <w:szCs w:val="20"/>
    </w:rPr>
  </w:style>
  <w:style w:type="character" w:customStyle="1" w:styleId="FootnoteTextChar">
    <w:name w:val="Footnote Text Char"/>
    <w:basedOn w:val="DefaultParagraphFont"/>
    <w:link w:val="FootnoteText"/>
    <w:uiPriority w:val="99"/>
    <w:semiHidden/>
    <w:rsid w:val="00B404B1"/>
    <w:rPr>
      <w:color w:val="58595B" w:themeColor="accent2"/>
      <w:sz w:val="20"/>
      <w:szCs w:val="20"/>
    </w:rPr>
  </w:style>
  <w:style w:type="character" w:styleId="FootnoteReference">
    <w:name w:val="footnote reference"/>
    <w:basedOn w:val="DefaultParagraphFont"/>
    <w:uiPriority w:val="99"/>
    <w:semiHidden/>
    <w:unhideWhenUsed/>
    <w:rsid w:val="00B404B1"/>
    <w:rPr>
      <w:vertAlign w:val="superscript"/>
    </w:rPr>
  </w:style>
  <w:style w:type="character" w:styleId="PlaceholderText">
    <w:name w:val="Placeholder Text"/>
    <w:basedOn w:val="DefaultParagraphFont"/>
    <w:uiPriority w:val="99"/>
    <w:semiHidden/>
    <w:rsid w:val="00190819"/>
    <w:rPr>
      <w:color w:val="808080"/>
    </w:rPr>
  </w:style>
  <w:style w:type="table" w:styleId="TableGrid">
    <w:name w:val="Table Grid"/>
    <w:basedOn w:val="TableNormal"/>
    <w:uiPriority w:val="59"/>
    <w:rsid w:val="000109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72A82"/>
    <w:pPr>
      <w:spacing w:after="160" w:line="259" w:lineRule="auto"/>
      <w:ind w:left="720"/>
      <w:contextualSpacing/>
    </w:pPr>
    <w:rPr>
      <w:color w:val="auto"/>
      <w:sz w:val="22"/>
    </w:rPr>
  </w:style>
  <w:style w:type="character" w:styleId="Hyperlink">
    <w:name w:val="Hyperlink"/>
    <w:basedOn w:val="DefaultParagraphFont"/>
    <w:uiPriority w:val="99"/>
    <w:unhideWhenUsed/>
    <w:rsid w:val="00772A82"/>
    <w:rPr>
      <w:color w:val="00A9CE" w:themeColor="hyperlink"/>
      <w:u w:val="single"/>
    </w:rPr>
  </w:style>
  <w:style w:type="character" w:styleId="UnresolvedMention">
    <w:name w:val="Unresolved Mention"/>
    <w:basedOn w:val="DefaultParagraphFont"/>
    <w:uiPriority w:val="99"/>
    <w:rsid w:val="00CD171A"/>
    <w:rPr>
      <w:color w:val="605E5C"/>
      <w:shd w:val="clear" w:color="auto" w:fill="E1DFDD"/>
    </w:rPr>
  </w:style>
  <w:style w:type="character" w:styleId="FollowedHyperlink">
    <w:name w:val="FollowedHyperlink"/>
    <w:basedOn w:val="DefaultParagraphFont"/>
    <w:uiPriority w:val="99"/>
    <w:semiHidden/>
    <w:unhideWhenUsed/>
    <w:rsid w:val="00CD171A"/>
    <w:rPr>
      <w:color w:val="006C91" w:themeColor="followedHyperlink"/>
      <w:u w:val="single"/>
    </w:rPr>
  </w:style>
  <w:style w:type="character" w:styleId="CommentReference">
    <w:name w:val="annotation reference"/>
    <w:basedOn w:val="DefaultParagraphFont"/>
    <w:uiPriority w:val="99"/>
    <w:semiHidden/>
    <w:unhideWhenUsed/>
    <w:rsid w:val="00CD171A"/>
    <w:rPr>
      <w:sz w:val="16"/>
      <w:szCs w:val="16"/>
    </w:rPr>
  </w:style>
  <w:style w:type="paragraph" w:styleId="CommentText">
    <w:name w:val="annotation text"/>
    <w:basedOn w:val="Normal"/>
    <w:link w:val="CommentTextChar"/>
    <w:uiPriority w:val="99"/>
    <w:unhideWhenUsed/>
    <w:rsid w:val="00CD171A"/>
    <w:pPr>
      <w:spacing w:line="240" w:lineRule="auto"/>
    </w:pPr>
    <w:rPr>
      <w:szCs w:val="20"/>
    </w:rPr>
  </w:style>
  <w:style w:type="character" w:customStyle="1" w:styleId="CommentTextChar">
    <w:name w:val="Comment Text Char"/>
    <w:basedOn w:val="DefaultParagraphFont"/>
    <w:link w:val="CommentText"/>
    <w:uiPriority w:val="99"/>
    <w:rsid w:val="00CD171A"/>
    <w:rPr>
      <w:color w:val="414042"/>
      <w:sz w:val="20"/>
      <w:szCs w:val="20"/>
    </w:rPr>
  </w:style>
  <w:style w:type="paragraph" w:styleId="CommentSubject">
    <w:name w:val="annotation subject"/>
    <w:basedOn w:val="CommentText"/>
    <w:next w:val="CommentText"/>
    <w:link w:val="CommentSubjectChar"/>
    <w:uiPriority w:val="99"/>
    <w:semiHidden/>
    <w:unhideWhenUsed/>
    <w:rsid w:val="00CD171A"/>
    <w:rPr>
      <w:b/>
      <w:bCs/>
    </w:rPr>
  </w:style>
  <w:style w:type="character" w:customStyle="1" w:styleId="CommentSubjectChar">
    <w:name w:val="Comment Subject Char"/>
    <w:basedOn w:val="CommentTextChar"/>
    <w:link w:val="CommentSubject"/>
    <w:uiPriority w:val="99"/>
    <w:semiHidden/>
    <w:rsid w:val="00CD171A"/>
    <w:rPr>
      <w:b/>
      <w:bCs/>
      <w:color w:val="414042"/>
      <w:sz w:val="20"/>
      <w:szCs w:val="20"/>
    </w:rPr>
  </w:style>
  <w:style w:type="paragraph" w:styleId="Revision">
    <w:name w:val="Revision"/>
    <w:hidden/>
    <w:uiPriority w:val="99"/>
    <w:semiHidden/>
    <w:rsid w:val="002D3C5E"/>
    <w:pPr>
      <w:spacing w:after="0" w:line="240" w:lineRule="auto"/>
    </w:pPr>
    <w:rPr>
      <w:color w:val="414042"/>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berra.edu.au/about-uc/policy-and-legislation/legislation/rules/Academic-Board-Rules-2026.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cademic.governance@canebrra.edu.au" TargetMode="External"/><Relationship Id="rId4" Type="http://schemas.openxmlformats.org/officeDocument/2006/relationships/settings" Target="settings.xml"/><Relationship Id="rId9" Type="http://schemas.openxmlformats.org/officeDocument/2006/relationships/hyperlink" Target="https://www.canberra.edu.au/about-uc/governance/academic-board"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UC-Rebrand">
      <a:dk1>
        <a:sysClr val="windowText" lastClr="000000"/>
      </a:dk1>
      <a:lt1>
        <a:sysClr val="window" lastClr="FFFFFF"/>
      </a:lt1>
      <a:dk2>
        <a:srgbClr val="414D61"/>
      </a:dk2>
      <a:lt2>
        <a:srgbClr val="FFFFFF"/>
      </a:lt2>
      <a:accent1>
        <a:srgbClr val="00A9CE"/>
      </a:accent1>
      <a:accent2>
        <a:srgbClr val="58595B"/>
      </a:accent2>
      <a:accent3>
        <a:srgbClr val="92D6E3"/>
      </a:accent3>
      <a:accent4>
        <a:srgbClr val="006C91"/>
      </a:accent4>
      <a:accent5>
        <a:srgbClr val="414D61"/>
      </a:accent5>
      <a:accent6>
        <a:srgbClr val="00A79D"/>
      </a:accent6>
      <a:hlink>
        <a:srgbClr val="00A9CE"/>
      </a:hlink>
      <a:folHlink>
        <a:srgbClr val="006C91"/>
      </a:folHlink>
    </a:clrScheme>
    <a:fontScheme name="UC-Rebrand">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6209D-2BAE-4244-9A12-C6D29FBE64A0}">
  <ds:schemaRefs>
    <ds:schemaRef ds:uri="http://schemas.openxmlformats.org/officeDocument/2006/bibliography"/>
  </ds:schemaRefs>
</ds:datastoreItem>
</file>

<file path=docMetadata/LabelInfo.xml><?xml version="1.0" encoding="utf-8"?>
<clbl:labelList xmlns:clbl="http://schemas.microsoft.com/office/2020/mipLabelMetadata">
  <clbl:label id="{bf6fef03-d487-4433-8e43-6b81c0a1b7be}" enabled="1" method="Standard" siteId="{1daf5147-a543-4707-a2fb-2acf0b2a3936}"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602</Words>
  <Characters>3436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Canberra</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Remy.Szabo</cp:lastModifiedBy>
  <cp:revision>3</cp:revision>
  <dcterms:created xsi:type="dcterms:W3CDTF">2026-09-14T22:56:00Z</dcterms:created>
  <dcterms:modified xsi:type="dcterms:W3CDTF">2026-09-14T23:22:00Z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6fef03-d487-4433-8e43-6b81c0a1b7be_Enabled">
    <vt:lpwstr>true</vt:lpwstr>
  </property>
  <property fmtid="{D5CDD505-2E9C-101B-9397-08002B2CF9AE}" pid="3" name="MSIP_Label_bf6fef03-d487-4433-8e43-6b81c0a1b7be_SetDate">
    <vt:lpwstr>2024-07-24T22:24:42Z</vt:lpwstr>
  </property>
  <property fmtid="{D5CDD505-2E9C-101B-9397-08002B2CF9AE}" pid="4" name="MSIP_Label_bf6fef03-d487-4433-8e43-6b81c0a1b7be_Method">
    <vt:lpwstr>Standard</vt:lpwstr>
  </property>
  <property fmtid="{D5CDD505-2E9C-101B-9397-08002B2CF9AE}" pid="5" name="MSIP_Label_bf6fef03-d487-4433-8e43-6b81c0a1b7be_Name">
    <vt:lpwstr>Unclassified</vt:lpwstr>
  </property>
  <property fmtid="{D5CDD505-2E9C-101B-9397-08002B2CF9AE}" pid="6" name="MSIP_Label_bf6fef03-d487-4433-8e43-6b81c0a1b7be_SiteId">
    <vt:lpwstr>1daf5147-a543-4707-a2fb-2acf0b2a3936</vt:lpwstr>
  </property>
  <property fmtid="{D5CDD505-2E9C-101B-9397-08002B2CF9AE}" pid="7" name="MSIP_Label_bf6fef03-d487-4433-8e43-6b81c0a1b7be_ActionId">
    <vt:lpwstr>bccc4508-843b-449c-926d-a8a4cf8ca7db</vt:lpwstr>
  </property>
  <property fmtid="{D5CDD505-2E9C-101B-9397-08002B2CF9AE}" pid="8" name="MSIP_Label_bf6fef03-d487-4433-8e43-6b81c0a1b7be_ContentBits">
    <vt:lpwstr>0</vt:lpwstr>
  </property>
</Properties>
</file>