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C0EA" w14:textId="78819946" w:rsidR="006E744C" w:rsidRPr="006E744C" w:rsidRDefault="006E744C" w:rsidP="006E744C">
      <w:pPr>
        <w:spacing w:line="360" w:lineRule="auto"/>
        <w:rPr>
          <w:rFonts w:ascii="Calibri" w:hAnsi="Calibri" w:cs="Calibri"/>
          <w:b/>
          <w:bCs/>
        </w:rPr>
      </w:pPr>
      <w:r w:rsidRPr="006E744C">
        <w:rPr>
          <w:rFonts w:ascii="Calibri" w:hAnsi="Calibri" w:cs="Calibri"/>
          <w:b/>
          <w:bCs/>
        </w:rPr>
        <w:t>Tatum Zotti u3213069</w:t>
      </w:r>
    </w:p>
    <w:p w14:paraId="30B21A58" w14:textId="38C47B2A" w:rsidR="007708FE" w:rsidRPr="006E744C" w:rsidRDefault="007708FE" w:rsidP="006E744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6E744C">
        <w:rPr>
          <w:rFonts w:ascii="Calibri" w:hAnsi="Calibri" w:cs="Calibri"/>
          <w:b/>
          <w:bCs/>
        </w:rPr>
        <w:t>Hold the epidural! Evaluating the enablers and barriers</w:t>
      </w:r>
      <w:r w:rsidR="00156522" w:rsidRPr="006E744C">
        <w:rPr>
          <w:rFonts w:ascii="Calibri" w:hAnsi="Calibri" w:cs="Calibri"/>
          <w:b/>
          <w:bCs/>
        </w:rPr>
        <w:t xml:space="preserve"> for midwives</w:t>
      </w:r>
      <w:r w:rsidRPr="006E744C">
        <w:rPr>
          <w:rFonts w:ascii="Calibri" w:hAnsi="Calibri" w:cs="Calibri"/>
          <w:b/>
          <w:bCs/>
        </w:rPr>
        <w:t xml:space="preserve"> </w:t>
      </w:r>
      <w:r w:rsidR="00156522" w:rsidRPr="006E744C">
        <w:rPr>
          <w:rFonts w:ascii="Calibri" w:hAnsi="Calibri" w:cs="Calibri"/>
          <w:b/>
          <w:bCs/>
        </w:rPr>
        <w:t xml:space="preserve">in the </w:t>
      </w:r>
      <w:r w:rsidRPr="006E744C">
        <w:rPr>
          <w:rFonts w:ascii="Calibri" w:hAnsi="Calibri" w:cs="Calibri"/>
          <w:b/>
          <w:bCs/>
        </w:rPr>
        <w:t>use of non-pharmacological pain relief in labour.</w:t>
      </w:r>
    </w:p>
    <w:p w14:paraId="00000028" w14:textId="0A8FE80E" w:rsidR="008F4DE2" w:rsidRPr="006E744C" w:rsidRDefault="004D510A" w:rsidP="006E744C">
      <w:pPr>
        <w:spacing w:line="360" w:lineRule="auto"/>
        <w:ind w:firstLine="720"/>
        <w:rPr>
          <w:rFonts w:ascii="Calibri" w:hAnsi="Calibri" w:cs="Calibri"/>
        </w:rPr>
      </w:pPr>
      <w:r w:rsidRPr="006E744C">
        <w:rPr>
          <w:rFonts w:ascii="Calibri" w:hAnsi="Calibri" w:cs="Calibri"/>
        </w:rPr>
        <w:t xml:space="preserve">Over 75% of women </w:t>
      </w:r>
      <w:r w:rsidR="00D17912" w:rsidRPr="006E744C">
        <w:rPr>
          <w:rFonts w:ascii="Calibri" w:hAnsi="Calibri" w:cs="Calibri"/>
        </w:rPr>
        <w:t xml:space="preserve">in Australia use </w:t>
      </w:r>
      <w:r w:rsidRPr="006E744C">
        <w:rPr>
          <w:rFonts w:ascii="Calibri" w:hAnsi="Calibri" w:cs="Calibri"/>
        </w:rPr>
        <w:t>pharmacological and non-pharmacological pain relief in labour. Non-pharmacological measures such as m</w:t>
      </w:r>
      <w:r w:rsidR="004A63B3" w:rsidRPr="006E744C">
        <w:rPr>
          <w:rFonts w:ascii="Calibri" w:hAnsi="Calibri" w:cs="Calibri"/>
        </w:rPr>
        <w:t xml:space="preserve">assage, water therapy and acupressure have proven benefits. </w:t>
      </w:r>
      <w:r w:rsidR="0023539F" w:rsidRPr="006E744C">
        <w:rPr>
          <w:rFonts w:ascii="Calibri" w:hAnsi="Calibri" w:cs="Calibri"/>
        </w:rPr>
        <w:t xml:space="preserve">Using massage in labour has been shown to decrease pain and </w:t>
      </w:r>
      <w:r w:rsidR="004A63B3" w:rsidRPr="006E744C">
        <w:rPr>
          <w:rFonts w:ascii="Calibri" w:hAnsi="Calibri" w:cs="Calibri"/>
        </w:rPr>
        <w:t>release oxytocin</w:t>
      </w:r>
      <w:r w:rsidR="0023539F" w:rsidRPr="006E744C">
        <w:rPr>
          <w:rFonts w:ascii="Calibri" w:hAnsi="Calibri" w:cs="Calibri"/>
        </w:rPr>
        <w:t>, while w</w:t>
      </w:r>
      <w:r w:rsidR="004A63B3" w:rsidRPr="006E744C">
        <w:rPr>
          <w:rFonts w:ascii="Calibri" w:hAnsi="Calibri" w:cs="Calibri"/>
        </w:rPr>
        <w:t>ater therapy increases relaxation and endorphin production</w:t>
      </w:r>
      <w:r w:rsidR="00BB6D09" w:rsidRPr="006E744C">
        <w:rPr>
          <w:rFonts w:ascii="Calibri" w:hAnsi="Calibri" w:cs="Calibri"/>
        </w:rPr>
        <w:t>. A</w:t>
      </w:r>
      <w:r w:rsidR="004A63B3" w:rsidRPr="006E744C">
        <w:rPr>
          <w:rFonts w:ascii="Calibri" w:hAnsi="Calibri" w:cs="Calibri"/>
        </w:rPr>
        <w:t>cupressure reduces stress and tension</w:t>
      </w:r>
      <w:r w:rsidR="0023539F" w:rsidRPr="006E744C">
        <w:rPr>
          <w:rFonts w:ascii="Calibri" w:hAnsi="Calibri" w:cs="Calibri"/>
        </w:rPr>
        <w:t xml:space="preserve"> while </w:t>
      </w:r>
      <w:r w:rsidRPr="006E744C">
        <w:rPr>
          <w:rFonts w:ascii="Calibri" w:hAnsi="Calibri" w:cs="Calibri"/>
        </w:rPr>
        <w:t xml:space="preserve">with the further </w:t>
      </w:r>
      <w:r w:rsidR="004A63B3" w:rsidRPr="006E744C">
        <w:rPr>
          <w:rFonts w:ascii="Calibri" w:hAnsi="Calibri" w:cs="Calibri"/>
        </w:rPr>
        <w:t xml:space="preserve">benefits </w:t>
      </w:r>
      <w:r w:rsidR="006E744C">
        <w:rPr>
          <w:rFonts w:ascii="Calibri" w:hAnsi="Calibri" w:cs="Calibri"/>
        </w:rPr>
        <w:t>being</w:t>
      </w:r>
      <w:r w:rsidR="004A63B3" w:rsidRPr="006E744C">
        <w:rPr>
          <w:rFonts w:ascii="Calibri" w:hAnsi="Calibri" w:cs="Calibri"/>
        </w:rPr>
        <w:t xml:space="preserve"> less intense pain and less anxiety.</w:t>
      </w:r>
      <w:r w:rsidR="0023539F" w:rsidRPr="006E744C">
        <w:rPr>
          <w:rFonts w:ascii="Calibri" w:hAnsi="Calibri" w:cs="Calibri"/>
        </w:rPr>
        <w:t xml:space="preserve"> Most importantly, overall, these techniques improve women’s satisfaction in labour. </w:t>
      </w:r>
    </w:p>
    <w:p w14:paraId="486555AF" w14:textId="4E9E8779" w:rsidR="0023539F" w:rsidRPr="006E744C" w:rsidRDefault="004D510A" w:rsidP="006E744C">
      <w:pPr>
        <w:spacing w:line="360" w:lineRule="auto"/>
        <w:ind w:firstLine="720"/>
        <w:rPr>
          <w:rFonts w:ascii="Calibri" w:hAnsi="Calibri" w:cs="Calibri"/>
        </w:rPr>
      </w:pPr>
      <w:r w:rsidRPr="006E744C">
        <w:rPr>
          <w:rFonts w:ascii="Calibri" w:hAnsi="Calibri" w:cs="Calibri"/>
        </w:rPr>
        <w:t>Pharmacological measures are also available</w:t>
      </w:r>
      <w:r w:rsidR="006E744C">
        <w:rPr>
          <w:rFonts w:ascii="Calibri" w:hAnsi="Calibri" w:cs="Calibri"/>
        </w:rPr>
        <w:t>.</w:t>
      </w:r>
      <w:r w:rsidRPr="006E744C">
        <w:rPr>
          <w:rFonts w:ascii="Calibri" w:hAnsi="Calibri" w:cs="Calibri"/>
        </w:rPr>
        <w:t xml:space="preserve"> </w:t>
      </w:r>
      <w:r w:rsidR="006E744C">
        <w:rPr>
          <w:rFonts w:ascii="Calibri" w:hAnsi="Calibri" w:cs="Calibri"/>
        </w:rPr>
        <w:t>H</w:t>
      </w:r>
      <w:r w:rsidRPr="006E744C">
        <w:rPr>
          <w:rFonts w:ascii="Calibri" w:hAnsi="Calibri" w:cs="Calibri"/>
        </w:rPr>
        <w:t>owever, women</w:t>
      </w:r>
      <w:r w:rsidR="0023539F" w:rsidRPr="006E744C">
        <w:rPr>
          <w:rFonts w:ascii="Calibri" w:hAnsi="Calibri" w:cs="Calibri"/>
        </w:rPr>
        <w:t xml:space="preserve"> receiving an epidural are twice as likely to report feeling </w:t>
      </w:r>
      <w:r w:rsidR="006E744C">
        <w:rPr>
          <w:rFonts w:ascii="Calibri" w:hAnsi="Calibri" w:cs="Calibri"/>
        </w:rPr>
        <w:t>dis</w:t>
      </w:r>
      <w:r w:rsidR="0023539F" w:rsidRPr="006E744C">
        <w:rPr>
          <w:rFonts w:ascii="Calibri" w:hAnsi="Calibri" w:cs="Calibri"/>
        </w:rPr>
        <w:t xml:space="preserve">satisfied with their birth. The use of epidural </w:t>
      </w:r>
      <w:r w:rsidRPr="006E744C">
        <w:rPr>
          <w:rFonts w:ascii="Calibri" w:hAnsi="Calibri" w:cs="Calibri"/>
        </w:rPr>
        <w:t xml:space="preserve">analgesia </w:t>
      </w:r>
      <w:r w:rsidR="0023539F" w:rsidRPr="006E744C">
        <w:rPr>
          <w:rFonts w:ascii="Calibri" w:hAnsi="Calibri" w:cs="Calibri"/>
        </w:rPr>
        <w:t xml:space="preserve">is also linked to a reduction of spontaneous </w:t>
      </w:r>
      <w:r w:rsidRPr="006E744C">
        <w:rPr>
          <w:rFonts w:ascii="Calibri" w:hAnsi="Calibri" w:cs="Calibri"/>
        </w:rPr>
        <w:t>birth</w:t>
      </w:r>
      <w:r w:rsidR="0023539F" w:rsidRPr="006E744C">
        <w:rPr>
          <w:rFonts w:ascii="Calibri" w:hAnsi="Calibri" w:cs="Calibri"/>
        </w:rPr>
        <w:t>, increase</w:t>
      </w:r>
      <w:r w:rsidRPr="006E744C">
        <w:rPr>
          <w:rFonts w:ascii="Calibri" w:hAnsi="Calibri" w:cs="Calibri"/>
        </w:rPr>
        <w:t>d</w:t>
      </w:r>
      <w:r w:rsidR="0023539F" w:rsidRPr="006E744C">
        <w:rPr>
          <w:rFonts w:ascii="Calibri" w:hAnsi="Calibri" w:cs="Calibri"/>
        </w:rPr>
        <w:t xml:space="preserve"> instrumental </w:t>
      </w:r>
      <w:r w:rsidR="00D17912" w:rsidRPr="006E744C">
        <w:rPr>
          <w:rFonts w:ascii="Calibri" w:hAnsi="Calibri" w:cs="Calibri"/>
        </w:rPr>
        <w:t>deliveries</w:t>
      </w:r>
      <w:r w:rsidR="0023539F" w:rsidRPr="006E744C">
        <w:rPr>
          <w:rFonts w:ascii="Calibri" w:hAnsi="Calibri" w:cs="Calibri"/>
        </w:rPr>
        <w:t xml:space="preserve">, episiotomies, and labour dystocia as well as negatively contributing to a woman’s sense of control and satisfaction </w:t>
      </w:r>
      <w:r w:rsidR="00D17912" w:rsidRPr="006E744C">
        <w:rPr>
          <w:rFonts w:ascii="Calibri" w:hAnsi="Calibri" w:cs="Calibri"/>
        </w:rPr>
        <w:t xml:space="preserve">during </w:t>
      </w:r>
      <w:r w:rsidR="0023539F" w:rsidRPr="006E744C">
        <w:rPr>
          <w:rFonts w:ascii="Calibri" w:hAnsi="Calibri" w:cs="Calibri"/>
        </w:rPr>
        <w:t xml:space="preserve">labour. </w:t>
      </w:r>
    </w:p>
    <w:p w14:paraId="4FF9F4A4" w14:textId="130E0FC2" w:rsidR="0023539F" w:rsidRPr="006E744C" w:rsidRDefault="00D17912" w:rsidP="006E744C">
      <w:pPr>
        <w:spacing w:line="360" w:lineRule="auto"/>
        <w:ind w:firstLine="720"/>
        <w:rPr>
          <w:rFonts w:ascii="Calibri" w:hAnsi="Calibri" w:cs="Calibri"/>
        </w:rPr>
      </w:pPr>
      <w:r w:rsidRPr="006E744C">
        <w:rPr>
          <w:rFonts w:ascii="Calibri" w:hAnsi="Calibri" w:cs="Calibri"/>
        </w:rPr>
        <w:t xml:space="preserve">International, national, and local recommendations </w:t>
      </w:r>
      <w:r w:rsidR="0023539F" w:rsidRPr="006E744C">
        <w:rPr>
          <w:rFonts w:ascii="Calibri" w:hAnsi="Calibri" w:cs="Calibri"/>
        </w:rPr>
        <w:t>include using nonpharmacological techniques</w:t>
      </w:r>
      <w:r w:rsidRPr="006E744C">
        <w:rPr>
          <w:rFonts w:ascii="Calibri" w:hAnsi="Calibri" w:cs="Calibri"/>
        </w:rPr>
        <w:t xml:space="preserve"> as the first line of management</w:t>
      </w:r>
      <w:r w:rsidR="0023539F" w:rsidRPr="006E744C">
        <w:rPr>
          <w:rFonts w:ascii="Calibri" w:hAnsi="Calibri" w:cs="Calibri"/>
        </w:rPr>
        <w:t>. Anecdotal</w:t>
      </w:r>
      <w:r w:rsidR="00E3196C">
        <w:rPr>
          <w:rFonts w:ascii="Calibri" w:hAnsi="Calibri" w:cs="Calibri"/>
        </w:rPr>
        <w:t xml:space="preserve"> evidence suggests that </w:t>
      </w:r>
      <w:r w:rsidRPr="006E744C">
        <w:rPr>
          <w:rFonts w:ascii="Calibri" w:hAnsi="Calibri" w:cs="Calibri"/>
        </w:rPr>
        <w:t xml:space="preserve">locally, </w:t>
      </w:r>
      <w:r w:rsidR="0023539F" w:rsidRPr="006E744C">
        <w:rPr>
          <w:rFonts w:ascii="Calibri" w:hAnsi="Calibri" w:cs="Calibri"/>
        </w:rPr>
        <w:t xml:space="preserve">Birth Centre midwives </w:t>
      </w:r>
      <w:r w:rsidR="00E3196C">
        <w:rPr>
          <w:rFonts w:ascii="Calibri" w:hAnsi="Calibri" w:cs="Calibri"/>
        </w:rPr>
        <w:t xml:space="preserve">may </w:t>
      </w:r>
      <w:r w:rsidRPr="006E744C">
        <w:rPr>
          <w:rFonts w:ascii="Calibri" w:hAnsi="Calibri" w:cs="Calibri"/>
        </w:rPr>
        <w:t xml:space="preserve">more </w:t>
      </w:r>
      <w:r w:rsidR="0023539F" w:rsidRPr="006E744C">
        <w:rPr>
          <w:rFonts w:ascii="Calibri" w:hAnsi="Calibri" w:cs="Calibri"/>
        </w:rPr>
        <w:t>commonly use these practice</w:t>
      </w:r>
      <w:r w:rsidR="00156522" w:rsidRPr="006E744C">
        <w:rPr>
          <w:rFonts w:ascii="Calibri" w:hAnsi="Calibri" w:cs="Calibri"/>
        </w:rPr>
        <w:t>s than</w:t>
      </w:r>
      <w:r w:rsidR="00BD4139" w:rsidRPr="006E744C">
        <w:rPr>
          <w:rFonts w:ascii="Calibri" w:hAnsi="Calibri" w:cs="Calibri"/>
        </w:rPr>
        <w:t xml:space="preserve"> </w:t>
      </w:r>
      <w:r w:rsidR="0023539F" w:rsidRPr="006E744C">
        <w:rPr>
          <w:rFonts w:ascii="Calibri" w:hAnsi="Calibri" w:cs="Calibri"/>
        </w:rPr>
        <w:t>Birth Suite midwives</w:t>
      </w:r>
      <w:r w:rsidR="00BD4139" w:rsidRPr="006E744C">
        <w:rPr>
          <w:rFonts w:ascii="Calibri" w:hAnsi="Calibri" w:cs="Calibri"/>
        </w:rPr>
        <w:t>, despite both following the same practice guideline.</w:t>
      </w:r>
    </w:p>
    <w:p w14:paraId="6676215E" w14:textId="62C62130" w:rsidR="0023539F" w:rsidRPr="006E744C" w:rsidRDefault="00BD4139" w:rsidP="006E744C">
      <w:pPr>
        <w:spacing w:line="360" w:lineRule="auto"/>
        <w:ind w:firstLine="720"/>
        <w:rPr>
          <w:rFonts w:ascii="Calibri" w:hAnsi="Calibri" w:cs="Calibri"/>
        </w:rPr>
      </w:pPr>
      <w:r w:rsidRPr="006E744C">
        <w:rPr>
          <w:rFonts w:ascii="Calibri" w:hAnsi="Calibri" w:cs="Calibri"/>
        </w:rPr>
        <w:t>A</w:t>
      </w:r>
      <w:r w:rsidR="00761313" w:rsidRPr="006E744C">
        <w:rPr>
          <w:rFonts w:ascii="Calibri" w:hAnsi="Calibri" w:cs="Calibri"/>
        </w:rPr>
        <w:t xml:space="preserve"> comprehensive </w:t>
      </w:r>
      <w:r w:rsidRPr="006E744C">
        <w:rPr>
          <w:rFonts w:ascii="Calibri" w:hAnsi="Calibri" w:cs="Calibri"/>
        </w:rPr>
        <w:t xml:space="preserve">evaluation of the </w:t>
      </w:r>
      <w:r w:rsidR="006E744C">
        <w:rPr>
          <w:rFonts w:ascii="Calibri" w:hAnsi="Calibri" w:cs="Calibri"/>
        </w:rPr>
        <w:t xml:space="preserve">current </w:t>
      </w:r>
      <w:r w:rsidR="00E3196C">
        <w:rPr>
          <w:rFonts w:ascii="Calibri" w:hAnsi="Calibri" w:cs="Calibri"/>
        </w:rPr>
        <w:t xml:space="preserve">labour and birth </w:t>
      </w:r>
      <w:r w:rsidRPr="006E744C">
        <w:rPr>
          <w:rFonts w:ascii="Calibri" w:hAnsi="Calibri" w:cs="Calibri"/>
        </w:rPr>
        <w:t>policy</w:t>
      </w:r>
      <w:r w:rsidR="0023539F" w:rsidRPr="006E744C">
        <w:rPr>
          <w:rFonts w:ascii="Calibri" w:hAnsi="Calibri" w:cs="Calibri"/>
        </w:rPr>
        <w:t xml:space="preserve"> </w:t>
      </w:r>
      <w:r w:rsidR="00761313" w:rsidRPr="006E744C">
        <w:rPr>
          <w:rFonts w:ascii="Calibri" w:hAnsi="Calibri" w:cs="Calibri"/>
        </w:rPr>
        <w:t xml:space="preserve">will </w:t>
      </w:r>
      <w:r w:rsidRPr="006E744C">
        <w:rPr>
          <w:rFonts w:ascii="Calibri" w:hAnsi="Calibri" w:cs="Calibri"/>
        </w:rPr>
        <w:t xml:space="preserve">examine </w:t>
      </w:r>
      <w:r w:rsidR="0023539F" w:rsidRPr="006E744C">
        <w:rPr>
          <w:rFonts w:ascii="Calibri" w:hAnsi="Calibri" w:cs="Calibri"/>
        </w:rPr>
        <w:t xml:space="preserve">how it </w:t>
      </w:r>
      <w:r w:rsidR="00156522" w:rsidRPr="006E744C">
        <w:rPr>
          <w:rFonts w:ascii="Calibri" w:hAnsi="Calibri" w:cs="Calibri"/>
        </w:rPr>
        <w:t xml:space="preserve">is </w:t>
      </w:r>
      <w:r w:rsidR="0023539F" w:rsidRPr="006E744C">
        <w:rPr>
          <w:rFonts w:ascii="Calibri" w:hAnsi="Calibri" w:cs="Calibri"/>
        </w:rPr>
        <w:t xml:space="preserve">being interpreted, </w:t>
      </w:r>
      <w:r w:rsidR="00761313" w:rsidRPr="006E744C">
        <w:rPr>
          <w:rFonts w:ascii="Calibri" w:hAnsi="Calibri" w:cs="Calibri"/>
        </w:rPr>
        <w:t xml:space="preserve">identify </w:t>
      </w:r>
      <w:r w:rsidR="007708FE" w:rsidRPr="006E744C">
        <w:rPr>
          <w:rFonts w:ascii="Calibri" w:hAnsi="Calibri" w:cs="Calibri"/>
        </w:rPr>
        <w:t>t</w:t>
      </w:r>
      <w:r w:rsidRPr="006E744C">
        <w:rPr>
          <w:rFonts w:ascii="Calibri" w:hAnsi="Calibri" w:cs="Calibri"/>
        </w:rPr>
        <w:t>he enablers and barriers in both birthing settings</w:t>
      </w:r>
      <w:r w:rsidR="00761313" w:rsidRPr="006E744C">
        <w:rPr>
          <w:rFonts w:ascii="Calibri" w:hAnsi="Calibri" w:cs="Calibri"/>
        </w:rPr>
        <w:t xml:space="preserve"> and help determine strategies to promote standardised practice</w:t>
      </w:r>
      <w:r w:rsidR="007708FE" w:rsidRPr="006E744C">
        <w:rPr>
          <w:rFonts w:ascii="Calibri" w:hAnsi="Calibri" w:cs="Calibri"/>
        </w:rPr>
        <w:t>.</w:t>
      </w:r>
      <w:r w:rsidR="0023539F" w:rsidRPr="006E744C">
        <w:rPr>
          <w:rFonts w:ascii="Calibri" w:hAnsi="Calibri" w:cs="Calibri"/>
        </w:rPr>
        <w:t xml:space="preserve"> </w:t>
      </w:r>
      <w:r w:rsidRPr="006E744C">
        <w:rPr>
          <w:rFonts w:ascii="Calibri" w:hAnsi="Calibri" w:cs="Calibri"/>
        </w:rPr>
        <w:t xml:space="preserve">The evaluation will inform any necessary </w:t>
      </w:r>
      <w:r w:rsidR="0023539F" w:rsidRPr="006E744C">
        <w:rPr>
          <w:rFonts w:ascii="Calibri" w:hAnsi="Calibri" w:cs="Calibri"/>
        </w:rPr>
        <w:t>redevelopment of the policy</w:t>
      </w:r>
      <w:r w:rsidR="00761313" w:rsidRPr="006E744C">
        <w:rPr>
          <w:rFonts w:ascii="Calibri" w:hAnsi="Calibri" w:cs="Calibri"/>
        </w:rPr>
        <w:t xml:space="preserve">. The </w:t>
      </w:r>
      <w:r w:rsidR="006E744C">
        <w:rPr>
          <w:rFonts w:ascii="Calibri" w:hAnsi="Calibri" w:cs="Calibri"/>
        </w:rPr>
        <w:t xml:space="preserve">revised </w:t>
      </w:r>
      <w:r w:rsidR="00761313" w:rsidRPr="006E744C">
        <w:rPr>
          <w:rFonts w:ascii="Calibri" w:hAnsi="Calibri" w:cs="Calibri"/>
        </w:rPr>
        <w:t xml:space="preserve">policy will </w:t>
      </w:r>
      <w:r w:rsidRPr="006E744C">
        <w:rPr>
          <w:rFonts w:ascii="Calibri" w:hAnsi="Calibri" w:cs="Calibri"/>
        </w:rPr>
        <w:t xml:space="preserve">be disseminated </w:t>
      </w:r>
      <w:r w:rsidR="00761313" w:rsidRPr="006E744C">
        <w:rPr>
          <w:rFonts w:ascii="Calibri" w:hAnsi="Calibri" w:cs="Calibri"/>
        </w:rPr>
        <w:t xml:space="preserve">using </w:t>
      </w:r>
      <w:r w:rsidR="0023539F" w:rsidRPr="006E744C">
        <w:rPr>
          <w:rFonts w:ascii="Calibri" w:hAnsi="Calibri" w:cs="Calibri"/>
        </w:rPr>
        <w:t>education and in-services</w:t>
      </w:r>
      <w:r w:rsidR="00761313" w:rsidRPr="006E744C">
        <w:rPr>
          <w:rFonts w:ascii="Calibri" w:hAnsi="Calibri" w:cs="Calibri"/>
        </w:rPr>
        <w:t>. Evaluation of the policy’s implementation ‘success’ using birthing data, staff confidence and maternal satisfaction will be undertaken at regular timepoints</w:t>
      </w:r>
      <w:r w:rsidR="0023539F" w:rsidRPr="006E744C">
        <w:rPr>
          <w:rFonts w:ascii="Calibri" w:hAnsi="Calibri" w:cs="Calibri"/>
        </w:rPr>
        <w:t xml:space="preserve">.  </w:t>
      </w:r>
    </w:p>
    <w:p w14:paraId="08758480" w14:textId="1CE48F25" w:rsidR="00695BAE" w:rsidRDefault="00695BAE">
      <w:pPr>
        <w:spacing w:line="360" w:lineRule="auto"/>
      </w:pPr>
    </w:p>
    <w:p w14:paraId="075448D9" w14:textId="477B6E78" w:rsidR="002F49D0" w:rsidRDefault="002F49D0">
      <w:pPr>
        <w:spacing w:line="360" w:lineRule="auto"/>
      </w:pPr>
    </w:p>
    <w:p w14:paraId="6549CFED" w14:textId="5BBAAB3C" w:rsidR="002F49D0" w:rsidRDefault="002F49D0">
      <w:pPr>
        <w:spacing w:line="360" w:lineRule="auto"/>
      </w:pPr>
    </w:p>
    <w:p w14:paraId="23480B78" w14:textId="1DECB8F0" w:rsidR="002F49D0" w:rsidRDefault="002F49D0">
      <w:pPr>
        <w:spacing w:line="360" w:lineRule="auto"/>
      </w:pPr>
    </w:p>
    <w:p w14:paraId="1D7F8776" w14:textId="407C7D27" w:rsidR="002F49D0" w:rsidRDefault="002F49D0">
      <w:pPr>
        <w:spacing w:line="360" w:lineRule="auto"/>
      </w:pPr>
    </w:p>
    <w:p w14:paraId="02DA1F5B" w14:textId="04F1A5E7" w:rsidR="002F49D0" w:rsidRDefault="002F49D0">
      <w:pPr>
        <w:spacing w:line="360" w:lineRule="auto"/>
      </w:pPr>
    </w:p>
    <w:p w14:paraId="4576391B" w14:textId="63799564" w:rsidR="002F49D0" w:rsidRDefault="002F49D0">
      <w:pPr>
        <w:spacing w:line="360" w:lineRule="auto"/>
      </w:pPr>
    </w:p>
    <w:p w14:paraId="4A651104" w14:textId="224AB1AD" w:rsidR="002F49D0" w:rsidRDefault="002F49D0">
      <w:pPr>
        <w:spacing w:line="360" w:lineRule="auto"/>
      </w:pPr>
    </w:p>
    <w:p w14:paraId="45226456" w14:textId="77777777" w:rsidR="0043124B" w:rsidRDefault="0043124B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14:paraId="5988BD65" w14:textId="73D95162" w:rsidR="002F49D0" w:rsidRPr="0043124B" w:rsidRDefault="002F49D0" w:rsidP="0043124B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000000"/>
        </w:rPr>
      </w:pPr>
      <w:r w:rsidRPr="0043124B">
        <w:rPr>
          <w:rFonts w:ascii="Calibri" w:hAnsi="Calibri" w:cs="Calibri"/>
          <w:b/>
          <w:bCs/>
          <w:color w:val="000000"/>
        </w:rPr>
        <w:lastRenderedPageBreak/>
        <w:t>References</w:t>
      </w:r>
      <w:r w:rsidR="006166A4">
        <w:rPr>
          <w:rFonts w:ascii="Calibri" w:hAnsi="Calibri" w:cs="Calibri"/>
          <w:b/>
          <w:bCs/>
          <w:color w:val="000000"/>
        </w:rPr>
        <w:t>:</w:t>
      </w:r>
    </w:p>
    <w:p w14:paraId="6DD6A41B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Andrew, M. S., Selvaratnam, R. J., Davies-Tuck, M., Howland, K., &amp; Davey, M. (2022). The association between intrapartum interventions and immediate and ongoing breastfeeding outcomes: An Australian retrospective population-based cohort study.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International Breastfeeding Journal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17</w:t>
      </w:r>
      <w:r w:rsidRPr="0043124B">
        <w:rPr>
          <w:rFonts w:ascii="Calibri" w:hAnsi="Calibri" w:cs="Calibri"/>
          <w:color w:val="000000"/>
          <w:sz w:val="22"/>
          <w:szCs w:val="22"/>
        </w:rPr>
        <w:t>(1). </w:t>
      </w:r>
      <w:hyperlink r:id="rId5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https://doi.org/10.1186/s13006-022-00492-7</w:t>
        </w:r>
      </w:hyperlink>
    </w:p>
    <w:p w14:paraId="5E628689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Chen, Y., Xiang, X., Chin, K. H., Gao, J., Wu, J., Lao, L., &amp; Chen, H. (2020). Acupressure for labor pain management: A systematic review and meta-analysis of randomized controlled trials.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Acupuncture in Medicine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39</w:t>
      </w:r>
      <w:r w:rsidRPr="0043124B">
        <w:rPr>
          <w:rFonts w:ascii="Calibri" w:hAnsi="Calibri" w:cs="Calibri"/>
          <w:color w:val="000000"/>
          <w:sz w:val="22"/>
          <w:szCs w:val="22"/>
        </w:rPr>
        <w:t>(4), 243-252. </w:t>
      </w:r>
      <w:hyperlink r:id="rId6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https://doi.org/10.1177/0964528420946044</w:t>
        </w:r>
      </w:hyperlink>
    </w:p>
    <w:p w14:paraId="04D010D0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Czech, I., Fuchs, P., Fuchs, A., Lorek, M., Tobolska-Lorek, D., Drosdzol-Cop, A., &amp; Sikora, J. (2018). Pharmacological and non-pharmacological methods of labour pain relief—Establishment of effectiveness and comparison.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International Journal of Environmental Research and Public Health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15</w:t>
      </w:r>
      <w:r w:rsidRPr="0043124B">
        <w:rPr>
          <w:rFonts w:ascii="Calibri" w:hAnsi="Calibri" w:cs="Calibri"/>
          <w:color w:val="000000"/>
          <w:sz w:val="22"/>
          <w:szCs w:val="22"/>
        </w:rPr>
        <w:t>(12), 2792. </w:t>
      </w:r>
      <w:hyperlink r:id="rId7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https://doi.org/10.3390/ijerph15122792</w:t>
        </w:r>
      </w:hyperlink>
    </w:p>
    <w:p w14:paraId="3D21A346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Feeley, F., Cooper, M., &amp; Burns, E. (2021). A systematic meta-thematic synthesis to examine the views and experiences of women following water immersion during labour and waterbirth.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Journal of Advanced Nursing</w:t>
      </w:r>
      <w:r w:rsidRPr="0043124B">
        <w:rPr>
          <w:rFonts w:ascii="Calibri" w:hAnsi="Calibri" w:cs="Calibri"/>
          <w:color w:val="000000"/>
          <w:sz w:val="22"/>
          <w:szCs w:val="22"/>
        </w:rPr>
        <w:t>. </w:t>
      </w:r>
      <w:hyperlink r:id="rId8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https://doi.org/10.1111/jan.14720</w:t>
        </w:r>
      </w:hyperlink>
    </w:p>
    <w:p w14:paraId="4E81989C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Gallo, R. B., Santana, L. S., Marcolin, A. C., Duarte, G., &amp; Quintana, S. M. (2018). Sequential application of non-pharmacological interventions reduces the severity of labour pain, delays use of pharmacological analgesia, and improves some obstetric outcomes: A randomised trial.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Journal of Physiotherapy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64</w:t>
      </w:r>
      <w:r w:rsidRPr="0043124B">
        <w:rPr>
          <w:rFonts w:ascii="Calibri" w:hAnsi="Calibri" w:cs="Calibri"/>
          <w:color w:val="000000"/>
          <w:sz w:val="22"/>
          <w:szCs w:val="22"/>
        </w:rPr>
        <w:t>(1), 33-40. </w:t>
      </w:r>
      <w:hyperlink r:id="rId9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https://doi.org/10.1016/j.jphys.2017.11.014</w:t>
        </w:r>
      </w:hyperlink>
    </w:p>
    <w:p w14:paraId="5CC86CE4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Hosseni, S. F., Pilevarzadeh, M., &amp; Vazirinasab, H. (2016). Non-pharmacological strategies on pain relief during labor.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Biosciences, Biotechnology Research Asia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13</w:t>
      </w:r>
      <w:r w:rsidRPr="0043124B">
        <w:rPr>
          <w:rFonts w:ascii="Calibri" w:hAnsi="Calibri" w:cs="Calibri"/>
          <w:color w:val="000000"/>
          <w:sz w:val="22"/>
          <w:szCs w:val="22"/>
        </w:rPr>
        <w:t>(2), 701-706. </w:t>
      </w:r>
      <w:hyperlink r:id="rId10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https://doi.org/10.13005/bbra/2087</w:t>
        </w:r>
      </w:hyperlink>
    </w:p>
    <w:p w14:paraId="100646F7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Levett, K. M., Smith, C. A., Bensoussan, A., &amp; Dahlen, H. G. (2016). Complementary therapies for labour and birth study: A randomised controlled trial of antenatal integrative medicine for pain management in labour.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BMJ Open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6</w:t>
      </w:r>
      <w:r w:rsidRPr="0043124B">
        <w:rPr>
          <w:rFonts w:ascii="Calibri" w:hAnsi="Calibri" w:cs="Calibri"/>
          <w:color w:val="000000"/>
          <w:sz w:val="22"/>
          <w:szCs w:val="22"/>
        </w:rPr>
        <w:t>(7), e010691. </w:t>
      </w:r>
      <w:hyperlink r:id="rId11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https://doi.org/10.1136/bmjopen-2015-010691</w:t>
        </w:r>
      </w:hyperlink>
    </w:p>
    <w:p w14:paraId="5BDD26EE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Maghalian, M., Kamalifard, M., Hassanzadeh, R., &amp; Mirghafourvand, M. (2022). The effect of massage on childbirth satisfaction: A systematic review and meta-analysis.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Advances in Integrative Medicine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9</w:t>
      </w:r>
      <w:r w:rsidRPr="0043124B">
        <w:rPr>
          <w:rFonts w:ascii="Calibri" w:hAnsi="Calibri" w:cs="Calibri"/>
          <w:color w:val="000000"/>
          <w:sz w:val="22"/>
          <w:szCs w:val="22"/>
        </w:rPr>
        <w:t>(3), 151-158. </w:t>
      </w:r>
      <w:hyperlink r:id="rId12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https://doi.org/10.1016/j.aimed.2022.05.002</w:t>
        </w:r>
      </w:hyperlink>
    </w:p>
    <w:p w14:paraId="4E2B50F3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Newnham, E. C., Moran, P. S., Begley, C. M., Carroll, M., &amp; Daly, D. (2021). Comparison of labour and birth outcomes between nulliparous women who used epidural analgesia in labour and those who did not: A prospective cohort study.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Women and Birth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34</w:t>
      </w:r>
      <w:r w:rsidRPr="0043124B">
        <w:rPr>
          <w:rFonts w:ascii="Calibri" w:hAnsi="Calibri" w:cs="Calibri"/>
          <w:color w:val="000000"/>
          <w:sz w:val="22"/>
          <w:szCs w:val="22"/>
        </w:rPr>
        <w:t>(5), e435-e441. </w:t>
      </w:r>
      <w:hyperlink r:id="rId13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https://doi.org/10.1016/j.wombi.2020.09.001</w:t>
        </w:r>
      </w:hyperlink>
    </w:p>
    <w:p w14:paraId="6ECD67F8" w14:textId="77777777" w:rsidR="002F49D0" w:rsidRPr="0043124B" w:rsidRDefault="002F49D0" w:rsidP="0043124B">
      <w:pPr>
        <w:pStyle w:val="NormalWeb"/>
        <w:shd w:val="clear" w:color="auto" w:fill="FFFFFF"/>
        <w:spacing w:before="0" w:beforeAutospacing="0" w:after="0" w:afterAutospacing="0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43124B">
        <w:rPr>
          <w:rFonts w:ascii="Calibri" w:hAnsi="Calibri" w:cs="Calibri"/>
          <w:color w:val="000000"/>
          <w:sz w:val="22"/>
          <w:szCs w:val="22"/>
        </w:rPr>
        <w:t>Thomson, G., Feeley, C., Moran, V. H., Downe, S., &amp; Oladapo, O. T. (2019). Women’s experiences of pharmacological and non-pharmacological pain relief methods for labour and childbirth: A qualitative systematic review.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Reproductive Health</w:t>
      </w:r>
      <w:r w:rsidRPr="0043124B">
        <w:rPr>
          <w:rFonts w:ascii="Calibri" w:hAnsi="Calibri" w:cs="Calibri"/>
          <w:color w:val="000000"/>
          <w:sz w:val="22"/>
          <w:szCs w:val="22"/>
        </w:rPr>
        <w:t>, </w:t>
      </w:r>
      <w:r w:rsidRPr="0043124B">
        <w:rPr>
          <w:rStyle w:val="Emphasis"/>
          <w:rFonts w:ascii="Calibri" w:hAnsi="Calibri" w:cs="Calibri"/>
          <w:color w:val="000000"/>
          <w:sz w:val="22"/>
          <w:szCs w:val="22"/>
        </w:rPr>
        <w:t>16</w:t>
      </w:r>
      <w:r w:rsidRPr="0043124B">
        <w:rPr>
          <w:rFonts w:ascii="Calibri" w:hAnsi="Calibri" w:cs="Calibri"/>
          <w:color w:val="000000"/>
          <w:sz w:val="22"/>
          <w:szCs w:val="22"/>
        </w:rPr>
        <w:t>(1). </w:t>
      </w:r>
      <w:hyperlink r:id="rId14" w:history="1">
        <w:r w:rsidRPr="0043124B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https://doi.org/10.1186/s12978-019-0735-4</w:t>
        </w:r>
      </w:hyperlink>
    </w:p>
    <w:p w14:paraId="268F10EB" w14:textId="77777777" w:rsidR="002F49D0" w:rsidRPr="0043124B" w:rsidRDefault="002F49D0" w:rsidP="0043124B">
      <w:pPr>
        <w:spacing w:line="240" w:lineRule="auto"/>
        <w:rPr>
          <w:rFonts w:ascii="Calibri" w:hAnsi="Calibri" w:cs="Calibri"/>
        </w:rPr>
      </w:pPr>
    </w:p>
    <w:sectPr w:rsidR="002F49D0" w:rsidRPr="004312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6725F"/>
    <w:multiLevelType w:val="hybridMultilevel"/>
    <w:tmpl w:val="E8BC15DC"/>
    <w:lvl w:ilvl="0" w:tplc="DBC805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E2"/>
    <w:rsid w:val="000504FD"/>
    <w:rsid w:val="00084BF0"/>
    <w:rsid w:val="00156522"/>
    <w:rsid w:val="00172E07"/>
    <w:rsid w:val="0023539F"/>
    <w:rsid w:val="002F49D0"/>
    <w:rsid w:val="00391E3B"/>
    <w:rsid w:val="0043124B"/>
    <w:rsid w:val="004A63B3"/>
    <w:rsid w:val="004D510A"/>
    <w:rsid w:val="006166A4"/>
    <w:rsid w:val="00695BAE"/>
    <w:rsid w:val="006E744C"/>
    <w:rsid w:val="00761313"/>
    <w:rsid w:val="007708FE"/>
    <w:rsid w:val="007F5726"/>
    <w:rsid w:val="008F4DE2"/>
    <w:rsid w:val="009A3CD8"/>
    <w:rsid w:val="00BB6D09"/>
    <w:rsid w:val="00BD4139"/>
    <w:rsid w:val="00D17912"/>
    <w:rsid w:val="00E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B330"/>
  <w15:docId w15:val="{CAF88AB0-210F-4472-AF4D-C0733D2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504FD"/>
    <w:pPr>
      <w:spacing w:line="240" w:lineRule="auto"/>
    </w:pPr>
    <w:rPr>
      <w:rFonts w:asciiTheme="minorHAnsi" w:eastAsiaTheme="minorHAnsi" w:hAnsiTheme="minorHAnsi" w:cstheme="minorBidi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BF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353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Emphasis">
    <w:name w:val="Emphasis"/>
    <w:basedOn w:val="DefaultParagraphFont"/>
    <w:uiPriority w:val="20"/>
    <w:qFormat/>
    <w:rsid w:val="002F4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an.14720" TargetMode="External"/><Relationship Id="rId13" Type="http://schemas.openxmlformats.org/officeDocument/2006/relationships/hyperlink" Target="https://doi.org/10.1016/j.wombi.2020.09.001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oi.org/10.3390/ijerph15122792" TargetMode="External"/><Relationship Id="rId12" Type="http://schemas.openxmlformats.org/officeDocument/2006/relationships/hyperlink" Target="https://doi.org/10.1016/j.aimed.2022.05.002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0964528420946044" TargetMode="External"/><Relationship Id="rId11" Type="http://schemas.openxmlformats.org/officeDocument/2006/relationships/hyperlink" Target="https://doi.org/10.1136/bmjopen-2015-010691" TargetMode="External"/><Relationship Id="rId5" Type="http://schemas.openxmlformats.org/officeDocument/2006/relationships/hyperlink" Target="https://doi.org/10.1186/s13006-022-00492-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3005/bbra/2087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phys.2017.11.014" TargetMode="External"/><Relationship Id="rId14" Type="http://schemas.openxmlformats.org/officeDocument/2006/relationships/hyperlink" Target="https://doi.org/10.1186/s12978-019-0735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0755E-6A38-4C25-AA03-F7257AA44A3E}"/>
</file>

<file path=customXml/itemProps2.xml><?xml version="1.0" encoding="utf-8"?>
<ds:datastoreItem xmlns:ds="http://schemas.openxmlformats.org/officeDocument/2006/customXml" ds:itemID="{6272BCD1-7FF8-492A-B97A-56C6E49003B6}"/>
</file>

<file path=customXml/itemProps3.xml><?xml version="1.0" encoding="utf-8"?>
<ds:datastoreItem xmlns:ds="http://schemas.openxmlformats.org/officeDocument/2006/customXml" ds:itemID="{FC41C689-D482-4C88-A17C-C14332FE9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Marjorie.Atchan</dc:creator>
  <cp:lastModifiedBy>Marjorie.Atchan</cp:lastModifiedBy>
  <cp:revision>3</cp:revision>
  <dcterms:created xsi:type="dcterms:W3CDTF">2022-09-16T02:42:00Z</dcterms:created>
  <dcterms:modified xsi:type="dcterms:W3CDTF">2022-09-16T02:43:00Z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