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37C10F2" w:rsidP="7130459D" w:rsidRDefault="737C10F2" w14:paraId="210EB937" w14:textId="79349872">
      <w:pPr>
        <w:rPr>
          <w:rFonts w:eastAsia="Times New Roman" w:cs="Calibri" w:cstheme="minorAscii"/>
          <w:b w:val="1"/>
          <w:bCs w:val="1"/>
          <w:color w:val="333333"/>
          <w:lang w:eastAsia="en-AU"/>
        </w:rPr>
      </w:pPr>
      <w:r w:rsidRPr="7130459D" w:rsidR="737C10F2">
        <w:rPr>
          <w:rFonts w:eastAsia="Times New Roman" w:cs="Calibri" w:cstheme="minorAscii"/>
          <w:b w:val="1"/>
          <w:bCs w:val="1"/>
          <w:color w:val="333333"/>
          <w:lang w:eastAsia="en-AU"/>
        </w:rPr>
        <w:t>Emily Jansch u3177895</w:t>
      </w:r>
    </w:p>
    <w:p w:rsidR="009B1728" w:rsidP="1BD869A9" w:rsidRDefault="009B1728" w14:paraId="68DF2C30" w14:textId="790C434B">
      <w:pPr>
        <w:jc w:val="center"/>
        <w:rPr>
          <w:rFonts w:eastAsia="Times New Roman" w:cs="Calibri" w:cstheme="minorAscii"/>
          <w:b w:val="1"/>
          <w:bCs w:val="1"/>
          <w:color w:val="333333"/>
          <w:lang w:eastAsia="en-AU"/>
        </w:rPr>
      </w:pPr>
      <w:proofErr w:type="spellStart"/>
      <w:r w:rsidRPr="1BD869A9" w:rsidR="009B1728">
        <w:rPr>
          <w:rFonts w:eastAsia="Times New Roman" w:cs="Calibri" w:cstheme="minorAscii"/>
          <w:b w:val="1"/>
          <w:bCs w:val="1"/>
          <w:color w:val="333333"/>
          <w:lang w:eastAsia="en-AU"/>
        </w:rPr>
        <w:t>Depathologising</w:t>
      </w:r>
      <w:proofErr w:type="spellEnd"/>
      <w:r w:rsidRPr="1BD869A9" w:rsidR="009B1728">
        <w:rPr>
          <w:rFonts w:eastAsia="Times New Roman" w:cs="Calibri" w:cstheme="minorAscii"/>
          <w:b w:val="1"/>
          <w:bCs w:val="1"/>
          <w:color w:val="333333"/>
          <w:lang w:eastAsia="en-AU"/>
        </w:rPr>
        <w:t xml:space="preserve"> birth for queer people through a gender-affirming model</w:t>
      </w:r>
      <w:r w:rsidRPr="1BD869A9" w:rsidR="00300676">
        <w:rPr>
          <w:rFonts w:eastAsia="Times New Roman" w:cs="Calibri" w:cstheme="minorAscii"/>
          <w:b w:val="1"/>
          <w:bCs w:val="1"/>
          <w:color w:val="333333"/>
          <w:lang w:eastAsia="en-AU"/>
        </w:rPr>
        <w:t xml:space="preserve"> of</w:t>
      </w:r>
      <w:r w:rsidRPr="1BD869A9" w:rsidR="009B1728">
        <w:rPr>
          <w:rFonts w:eastAsia="Times New Roman" w:cs="Calibri" w:cstheme="minorAscii"/>
          <w:b w:val="1"/>
          <w:bCs w:val="1"/>
          <w:color w:val="333333"/>
          <w:lang w:eastAsia="en-AU"/>
        </w:rPr>
        <w:t xml:space="preserve"> care.</w:t>
      </w:r>
    </w:p>
    <w:p w:rsidRPr="00DD03D4" w:rsidR="0094770F" w:rsidP="7130459D" w:rsidRDefault="0094770F" w14:paraId="7E6F7208" w14:textId="7E7F0212">
      <w:pPr>
        <w:pStyle w:val="Normal"/>
        <w:spacing w:after="0" w:afterAutospacing="off" w:line="360" w:lineRule="auto"/>
        <w:ind w:firstLine="720"/>
        <w:rPr>
          <w:rFonts w:cs="Calibri" w:cstheme="minorAscii"/>
          <w:shd w:val="clear" w:color="auto" w:fill="FFFFFF"/>
        </w:rPr>
      </w:pPr>
      <w:r w:rsidRPr="7130459D" w:rsidR="0094770F">
        <w:rPr>
          <w:rFonts w:eastAsia="Times New Roman" w:cs="Calibri" w:cstheme="minorAscii"/>
          <w:color w:val="333333"/>
          <w:lang w:eastAsia="en-AU"/>
        </w:rPr>
        <w:t>Not all birthing people are women and not all women are birthing people.</w:t>
      </w:r>
      <w:r w:rsidRPr="7130459D" w:rsidR="0094770F">
        <w:rPr>
          <w:rFonts w:eastAsia="Times New Roman" w:cs="Calibri" w:cstheme="minorAscii"/>
          <w:color w:val="333333"/>
          <w:lang w:eastAsia="en-AU"/>
        </w:rPr>
        <w:t xml:space="preserve"> </w:t>
      </w:r>
      <w:r w:rsidRPr="7130459D" w:rsidR="00DD2C4C">
        <w:rPr>
          <w:rFonts w:eastAsia="Times New Roman" w:cs="Calibri" w:cstheme="minorAscii"/>
          <w:color w:val="333333"/>
          <w:lang w:eastAsia="en-AU"/>
        </w:rPr>
        <w:t>There is increasing</w:t>
      </w:r>
      <w:r w:rsidRPr="7130459D" w:rsidR="00A23B4A">
        <w:rPr>
          <w:rFonts w:eastAsia="Times New Roman" w:cs="Calibri" w:cstheme="minorAscii"/>
          <w:color w:val="333333"/>
          <w:lang w:eastAsia="en-AU"/>
        </w:rPr>
        <w:t xml:space="preserve"> </w:t>
      </w:r>
      <w:r w:rsidRPr="7130459D" w:rsidR="0094770F">
        <w:rPr>
          <w:rFonts w:eastAsia="Times New Roman" w:cs="Calibri" w:cstheme="minorAscii"/>
          <w:color w:val="333333"/>
          <w:lang w:eastAsia="en-AU"/>
        </w:rPr>
        <w:t>globa</w:t>
      </w:r>
      <w:r w:rsidRPr="7130459D" w:rsidR="00DD2C4C">
        <w:rPr>
          <w:rFonts w:eastAsia="Times New Roman" w:cs="Calibri" w:cstheme="minorAscii"/>
          <w:color w:val="333333"/>
          <w:lang w:eastAsia="en-AU"/>
        </w:rPr>
        <w:t>l recognition</w:t>
      </w:r>
      <w:r w:rsidRPr="7130459D" w:rsidR="0094770F">
        <w:rPr>
          <w:rFonts w:eastAsia="Times New Roman" w:cs="Calibri" w:cstheme="minorAscii"/>
          <w:color w:val="333333"/>
          <w:lang w:eastAsia="en-AU"/>
        </w:rPr>
        <w:t xml:space="preserve"> that gender-diverse people are birthing and becoming parents, however their invisibility persists in healthcare attitudes, policies, and language.</w:t>
      </w:r>
    </w:p>
    <w:p w:rsidRPr="00DD03D4" w:rsidR="0094770F" w:rsidP="7130459D" w:rsidRDefault="00A23B4A" w14:paraId="147694DF" w14:textId="07BAC988" w14:noSpellErr="1">
      <w:pPr>
        <w:spacing w:after="0" w:afterAutospacing="off" w:line="360" w:lineRule="auto"/>
        <w:ind w:firstLine="720"/>
        <w:rPr>
          <w:rFonts w:cs="Calibri" w:cstheme="minorAscii"/>
          <w:shd w:val="clear" w:color="auto" w:fill="FFFFFF"/>
        </w:rPr>
      </w:pPr>
      <w:r w:rsidRPr="7130459D" w:rsidR="00A23B4A">
        <w:rPr>
          <w:rFonts w:cs="Calibri" w:cstheme="minorAscii"/>
          <w:shd w:val="clear" w:color="auto" w:fill="FFFFFF"/>
        </w:rPr>
        <w:t>G</w:t>
      </w:r>
      <w:r w:rsidRPr="7130459D" w:rsidR="0094770F">
        <w:rPr>
          <w:rFonts w:cs="Calibri" w:cstheme="minorAscii"/>
          <w:shd w:val="clear" w:color="auto" w:fill="FFFFFF"/>
        </w:rPr>
        <w:t xml:space="preserve">eneral healthcare for </w:t>
      </w:r>
      <w:r w:rsidRPr="7130459D" w:rsidR="0038582E">
        <w:rPr>
          <w:rFonts w:cs="Calibri" w:cstheme="minorAscii"/>
          <w:shd w:val="clear" w:color="auto" w:fill="FFFFFF"/>
        </w:rPr>
        <w:t>queer</w:t>
      </w:r>
      <w:r w:rsidRPr="7130459D" w:rsidR="0094770F">
        <w:rPr>
          <w:rFonts w:cs="Calibri" w:cstheme="minorAscii"/>
          <w:shd w:val="clear" w:color="auto" w:fill="FFFFFF"/>
        </w:rPr>
        <w:t xml:space="preserve"> people is routinely pathologi</w:t>
      </w:r>
      <w:r w:rsidRPr="7130459D" w:rsidR="0038582E">
        <w:rPr>
          <w:rFonts w:cs="Calibri" w:cstheme="minorAscii"/>
          <w:shd w:val="clear" w:color="auto" w:fill="FFFFFF"/>
        </w:rPr>
        <w:t>s</w:t>
      </w:r>
      <w:r w:rsidRPr="7130459D" w:rsidR="0094770F">
        <w:rPr>
          <w:rFonts w:cs="Calibri" w:cstheme="minorAscii"/>
          <w:shd w:val="clear" w:color="auto" w:fill="FFFFFF"/>
        </w:rPr>
        <w:t>ed and characterised by dismissive attitudes and negligent misgendering of internal and parental identities. This policy seeks to elevate the perinatal experience for all birthing people by implementing a gender-affirming model of care into local maternity services built on the three interconnected pillars of: accessibility, rights-based, and person-centred care. Midwives are ideally positioned to adopt this policy as the tenets of gender-affirmation parallel those of the midwifery model of care in respect for human dignity and compassion.</w:t>
      </w:r>
      <w:r w:rsidRPr="7130459D" w:rsidR="0094770F">
        <w:rPr>
          <w:rFonts w:cs="Calibri" w:cstheme="minorAscii"/>
          <w:color w:val="FF0000"/>
        </w:rPr>
        <w:t xml:space="preserve"> </w:t>
      </w:r>
    </w:p>
    <w:p w:rsidRPr="00DD03D4" w:rsidR="0094770F" w:rsidP="7130459D" w:rsidRDefault="0094770F" w14:paraId="2439DB26" w14:textId="5A88CEA8" w14:noSpellErr="1">
      <w:pPr>
        <w:spacing w:after="0" w:afterAutospacing="off" w:line="360" w:lineRule="auto"/>
        <w:ind w:firstLine="720"/>
        <w:rPr>
          <w:rFonts w:cs="Calibri" w:cstheme="minorAscii"/>
        </w:rPr>
      </w:pPr>
      <w:r w:rsidRPr="7130459D" w:rsidR="0094770F">
        <w:rPr>
          <w:rFonts w:cs="Calibri" w:cstheme="minorAscii"/>
        </w:rPr>
        <w:t xml:space="preserve">Implementation will </w:t>
      </w:r>
      <w:r w:rsidRPr="7130459D" w:rsidR="007051AA">
        <w:rPr>
          <w:rFonts w:cs="Calibri" w:cstheme="minorAscii"/>
        </w:rPr>
        <w:t xml:space="preserve">include </w:t>
      </w:r>
      <w:r w:rsidRPr="7130459D" w:rsidR="0094770F">
        <w:rPr>
          <w:rFonts w:cs="Calibri" w:cstheme="minorAscii"/>
        </w:rPr>
        <w:t>upskilling clinical and non-clinical staff</w:t>
      </w:r>
      <w:r w:rsidRPr="7130459D" w:rsidR="00007A22">
        <w:rPr>
          <w:rFonts w:cs="Calibri" w:cstheme="minorAscii"/>
        </w:rPr>
        <w:t xml:space="preserve"> in inclusive care</w:t>
      </w:r>
      <w:r w:rsidRPr="7130459D" w:rsidR="00DD2C4C">
        <w:rPr>
          <w:rFonts w:cs="Calibri" w:cstheme="minorAscii"/>
        </w:rPr>
        <w:t xml:space="preserve"> practices</w:t>
      </w:r>
      <w:r w:rsidRPr="7130459D" w:rsidR="00007A22">
        <w:rPr>
          <w:rFonts w:cs="Calibri" w:cstheme="minorAscii"/>
        </w:rPr>
        <w:t xml:space="preserve"> </w:t>
      </w:r>
      <w:r w:rsidRPr="7130459D" w:rsidR="00300676">
        <w:rPr>
          <w:rFonts w:cs="Calibri" w:cstheme="minorAscii"/>
        </w:rPr>
        <w:t xml:space="preserve">and strengths-based </w:t>
      </w:r>
      <w:r w:rsidRPr="7130459D" w:rsidR="00007A22">
        <w:rPr>
          <w:rFonts w:cs="Calibri" w:cstheme="minorAscii"/>
        </w:rPr>
        <w:t>approaches</w:t>
      </w:r>
      <w:r w:rsidRPr="7130459D" w:rsidR="00DD2C4C">
        <w:rPr>
          <w:rFonts w:cs="Calibri" w:cstheme="minorAscii"/>
        </w:rPr>
        <w:t>, and by</w:t>
      </w:r>
      <w:r w:rsidRPr="7130459D" w:rsidR="00007A22">
        <w:rPr>
          <w:rFonts w:cs="Calibri" w:cstheme="minorAscii"/>
        </w:rPr>
        <w:t xml:space="preserve"> </w:t>
      </w:r>
      <w:r w:rsidRPr="7130459D" w:rsidR="0094770F">
        <w:rPr>
          <w:rFonts w:cs="Calibri" w:cstheme="minorAscii"/>
        </w:rPr>
        <w:t>increasing visibility in</w:t>
      </w:r>
      <w:r w:rsidRPr="7130459D" w:rsidR="0094770F">
        <w:rPr>
          <w:rFonts w:cs="Calibri" w:cstheme="minorAscii"/>
        </w:rPr>
        <w:t xml:space="preserve"> diversity of birthing people and their families in perinatal spaces</w:t>
      </w:r>
      <w:r w:rsidRPr="7130459D" w:rsidR="00DD2C4C">
        <w:rPr>
          <w:rFonts w:cs="Calibri" w:cstheme="minorAscii"/>
        </w:rPr>
        <w:t>.</w:t>
      </w:r>
      <w:r w:rsidRPr="7130459D" w:rsidR="00007A22">
        <w:rPr>
          <w:rFonts w:cs="Calibri" w:cstheme="minorAscii"/>
        </w:rPr>
        <w:t xml:space="preserve"> </w:t>
      </w:r>
      <w:r w:rsidRPr="7130459D" w:rsidR="0094770F">
        <w:rPr>
          <w:rFonts w:cs="Calibri" w:cstheme="minorAscii"/>
        </w:rPr>
        <w:t xml:space="preserve">Evaluation of this policy will measure the success of inclusivity education through qualitative assessment of gender-diverse peoples experiences of maternity care. Deidentified experiences and outcomes will be formally published as a contribution to building an evidence base for wider implementation and establishment of gender-affirming models of care. </w:t>
      </w:r>
    </w:p>
    <w:p w:rsidRPr="00DD03D4" w:rsidR="0094770F" w:rsidP="7130459D" w:rsidRDefault="0038582E" w14:paraId="6E5CEFFB" w14:textId="5D321E22" w14:noSpellErr="1">
      <w:pPr>
        <w:spacing w:after="0" w:afterAutospacing="off" w:line="360" w:lineRule="auto"/>
        <w:ind w:firstLine="720"/>
        <w:rPr>
          <w:rFonts w:cs="Calibri" w:cstheme="minorAscii"/>
        </w:rPr>
      </w:pPr>
      <w:r w:rsidRPr="7130459D" w:rsidR="0038582E">
        <w:rPr>
          <w:rFonts w:cs="Calibri" w:cstheme="minorAscii"/>
        </w:rPr>
        <w:t>As a public health strategy, this policy aims to reduce wider health inequities for gender-diverse people by empowering providers to deliver individualised and culturally competent perinatal care. This policy reinforces the empowerment of childbearing women alongside supportive care for queer birthing people.</w:t>
      </w:r>
    </w:p>
    <w:p w:rsidRPr="00DD03D4" w:rsidR="0094770F" w:rsidP="0094770F" w:rsidRDefault="0094770F" w14:paraId="3DF0A185" w14:textId="53713498">
      <w:pPr>
        <w:spacing w:line="360" w:lineRule="auto"/>
        <w:rPr>
          <w:rFonts w:cstheme="minorHAnsi"/>
          <w:b/>
          <w:bCs/>
          <w:u w:val="single"/>
        </w:rPr>
      </w:pPr>
    </w:p>
    <w:p w:rsidRPr="00DD03D4" w:rsidR="0094770F" w:rsidP="0094770F" w:rsidRDefault="0094770F" w14:paraId="38FB9DC9" w14:textId="27E0F772">
      <w:pPr>
        <w:spacing w:line="360" w:lineRule="auto"/>
        <w:rPr>
          <w:rFonts w:cstheme="minorHAnsi"/>
          <w:b/>
          <w:bCs/>
          <w:u w:val="single"/>
        </w:rPr>
      </w:pPr>
    </w:p>
    <w:p w:rsidRPr="00DD03D4" w:rsidR="0094770F" w:rsidP="0094770F" w:rsidRDefault="0094770F" w14:paraId="7C819891" w14:textId="12C6EFCF">
      <w:pPr>
        <w:spacing w:line="360" w:lineRule="auto"/>
        <w:rPr>
          <w:rFonts w:cstheme="minorHAnsi"/>
          <w:b/>
          <w:bCs/>
          <w:u w:val="single"/>
        </w:rPr>
      </w:pPr>
    </w:p>
    <w:p w:rsidR="0094770F" w:rsidP="0094770F" w:rsidRDefault="0094770F" w14:paraId="74EA98DC" w14:textId="606DA170">
      <w:pPr>
        <w:spacing w:line="360" w:lineRule="auto"/>
        <w:rPr>
          <w:rFonts w:cstheme="minorHAnsi"/>
          <w:b/>
          <w:bCs/>
          <w:u w:val="single"/>
        </w:rPr>
      </w:pPr>
    </w:p>
    <w:p w:rsidR="00DD03D4" w:rsidP="0094770F" w:rsidRDefault="00DD03D4" w14:paraId="68D72D89" w14:textId="21FAD788">
      <w:pPr>
        <w:spacing w:line="360" w:lineRule="auto"/>
        <w:rPr>
          <w:rFonts w:cstheme="minorHAnsi"/>
          <w:b/>
          <w:bCs/>
          <w:u w:val="single"/>
        </w:rPr>
      </w:pPr>
    </w:p>
    <w:p w:rsidR="0094770F" w:rsidP="0094770F" w:rsidRDefault="0094770F" w14:paraId="777692C0" w14:textId="2C05E728">
      <w:pPr>
        <w:spacing w:line="360" w:lineRule="auto"/>
        <w:rPr>
          <w:rFonts w:cstheme="minorHAnsi"/>
          <w:b/>
          <w:bCs/>
          <w:u w:val="single"/>
        </w:rPr>
      </w:pPr>
    </w:p>
    <w:p w:rsidRPr="0094770F" w:rsidR="00DD03D4" w:rsidP="0094770F" w:rsidRDefault="00DD03D4" w14:paraId="7981AEE9" w14:textId="77777777">
      <w:pPr>
        <w:spacing w:line="360" w:lineRule="auto"/>
        <w:rPr>
          <w:rFonts w:cstheme="minorHAnsi"/>
          <w:b/>
          <w:bCs/>
          <w:u w:val="single"/>
        </w:rPr>
      </w:pPr>
    </w:p>
    <w:p w:rsidRPr="0094770F" w:rsidR="0094770F" w:rsidP="0094770F" w:rsidRDefault="0094770F" w14:paraId="461735A3" w14:textId="77777777">
      <w:pPr>
        <w:spacing w:line="360" w:lineRule="auto"/>
        <w:rPr>
          <w:rFonts w:cstheme="minorHAnsi"/>
          <w:b/>
          <w:bCs/>
          <w:u w:val="single"/>
        </w:rPr>
      </w:pPr>
    </w:p>
    <w:p w:rsidR="7130459D" w:rsidRDefault="7130459D" w14:paraId="5BC85BBD" w14:textId="22064A7D">
      <w:r>
        <w:br w:type="page"/>
      </w:r>
    </w:p>
    <w:p w:rsidRPr="0094770F" w:rsidR="0094770F" w:rsidP="7130459D" w:rsidRDefault="0094770F" w14:paraId="45DDB965" w14:textId="622D8B00">
      <w:pPr>
        <w:pStyle w:val="EndNoteBibliography"/>
        <w:spacing w:after="0"/>
        <w:ind w:left="720" w:hanging="720"/>
        <w:rPr>
          <w:rFonts w:ascii="Calibri" w:hAnsi="Calibri" w:cs="Calibri" w:asciiTheme="minorAscii" w:hAnsiTheme="minorAscii" w:cstheme="minorAscii"/>
          <w:b w:val="1"/>
          <w:bCs w:val="1"/>
        </w:rPr>
      </w:pPr>
      <w:r w:rsidRPr="7130459D" w:rsidR="0094770F">
        <w:rPr>
          <w:rFonts w:ascii="Calibri" w:hAnsi="Calibri" w:cs="Calibri" w:asciiTheme="minorAscii" w:hAnsiTheme="minorAscii" w:cstheme="minorAscii"/>
          <w:b w:val="1"/>
          <w:bCs w:val="1"/>
        </w:rPr>
        <w:t>References</w:t>
      </w:r>
      <w:r w:rsidRPr="7130459D" w:rsidR="589BBC32">
        <w:rPr>
          <w:rFonts w:ascii="Calibri" w:hAnsi="Calibri" w:cs="Calibri" w:asciiTheme="minorAscii" w:hAnsiTheme="minorAscii" w:cstheme="minorAscii"/>
          <w:b w:val="1"/>
          <w:bCs w:val="1"/>
        </w:rPr>
        <w:t>:</w:t>
      </w:r>
    </w:p>
    <w:p w:rsidRPr="0094770F" w:rsidR="0094770F" w:rsidP="0094770F" w:rsidRDefault="0094770F" w14:paraId="661E2BAF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94770F">
        <w:rPr>
          <w:rFonts w:asciiTheme="minorHAnsi" w:hAnsiTheme="minorHAnsi" w:cstheme="minorHAnsi"/>
        </w:rPr>
        <w:t xml:space="preserve">Allen, K., Cuthbert, K., Hall, J. J., Hines, S., &amp; Elley, S. (2021). Trailblazing the gender revolution? Young people's understandings of gender diversity through generation and social change. </w:t>
      </w:r>
      <w:r w:rsidRPr="0094770F">
        <w:rPr>
          <w:rFonts w:asciiTheme="minorHAnsi" w:hAnsiTheme="minorHAnsi" w:cstheme="minorHAnsi"/>
          <w:i/>
        </w:rPr>
        <w:t>Journal of Youth Studies</w:t>
      </w:r>
      <w:r w:rsidRPr="0094770F">
        <w:rPr>
          <w:rFonts w:asciiTheme="minorHAnsi" w:hAnsiTheme="minorHAnsi" w:cstheme="minorHAnsi"/>
        </w:rPr>
        <w:t xml:space="preserve">, 1-17. https://doi.org/10.1080/13676261.2021.1923674 </w:t>
      </w:r>
    </w:p>
    <w:p w:rsidRPr="0094770F" w:rsidR="0094770F" w:rsidP="0094770F" w:rsidRDefault="0094770F" w14:paraId="2E7ECA2B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94770F">
        <w:rPr>
          <w:rFonts w:asciiTheme="minorHAnsi" w:hAnsiTheme="minorHAnsi" w:cstheme="minorHAnsi"/>
        </w:rPr>
        <w:t xml:space="preserve">Bartholomaeus, C., Riggs, D. W., &amp; Sansfaçon, A. P. (2021). Expanding and improving trans affirming care in Australia: experiences with healthcare professionals among transgender young people and their parents. </w:t>
      </w:r>
      <w:r w:rsidRPr="0094770F">
        <w:rPr>
          <w:rFonts w:asciiTheme="minorHAnsi" w:hAnsiTheme="minorHAnsi" w:cstheme="minorHAnsi"/>
          <w:i/>
        </w:rPr>
        <w:t>Health Sociology Review</w:t>
      </w:r>
      <w:r w:rsidRPr="0094770F">
        <w:rPr>
          <w:rFonts w:asciiTheme="minorHAnsi" w:hAnsiTheme="minorHAnsi" w:cstheme="minorHAnsi"/>
        </w:rPr>
        <w:t>,</w:t>
      </w:r>
      <w:r w:rsidRPr="0094770F">
        <w:rPr>
          <w:rFonts w:asciiTheme="minorHAnsi" w:hAnsiTheme="minorHAnsi" w:cstheme="minorHAnsi"/>
          <w:i/>
        </w:rPr>
        <w:t xml:space="preserve"> 30</w:t>
      </w:r>
      <w:r w:rsidRPr="0094770F">
        <w:rPr>
          <w:rFonts w:asciiTheme="minorHAnsi" w:hAnsiTheme="minorHAnsi" w:cstheme="minorHAnsi"/>
        </w:rPr>
        <w:t xml:space="preserve">(1), 58-71. https://doi.org/10.1080/14461242.2020.1845223 </w:t>
      </w:r>
    </w:p>
    <w:p w:rsidRPr="0094770F" w:rsidR="0094770F" w:rsidP="0094770F" w:rsidRDefault="0094770F" w14:paraId="511E952F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94770F">
        <w:rPr>
          <w:rFonts w:asciiTheme="minorHAnsi" w:hAnsiTheme="minorHAnsi" w:cstheme="minorHAnsi"/>
        </w:rPr>
        <w:t xml:space="preserve">Charter, R., Ussher, J. M., Perz, J., &amp; Robinson, K. (2018). The transgender parent: Experiences and constructions of pregnancy and parenthood for transgender men in Australia. </w:t>
      </w:r>
      <w:r w:rsidRPr="0094770F">
        <w:rPr>
          <w:rFonts w:asciiTheme="minorHAnsi" w:hAnsiTheme="minorHAnsi" w:cstheme="minorHAnsi"/>
          <w:i/>
        </w:rPr>
        <w:t>International Journal of Transgenderism</w:t>
      </w:r>
      <w:r w:rsidRPr="0094770F">
        <w:rPr>
          <w:rFonts w:asciiTheme="minorHAnsi" w:hAnsiTheme="minorHAnsi" w:cstheme="minorHAnsi"/>
        </w:rPr>
        <w:t>,</w:t>
      </w:r>
      <w:r w:rsidRPr="0094770F">
        <w:rPr>
          <w:rFonts w:asciiTheme="minorHAnsi" w:hAnsiTheme="minorHAnsi" w:cstheme="minorHAnsi"/>
          <w:i/>
        </w:rPr>
        <w:t xml:space="preserve"> 19</w:t>
      </w:r>
      <w:r w:rsidRPr="0094770F">
        <w:rPr>
          <w:rFonts w:asciiTheme="minorHAnsi" w:hAnsiTheme="minorHAnsi" w:cstheme="minorHAnsi"/>
        </w:rPr>
        <w:t xml:space="preserve">(1), 64-77. https://doi.org/10.1080/15532739.2017.1399496 </w:t>
      </w:r>
    </w:p>
    <w:p w:rsidRPr="00756875" w:rsidR="0094770F" w:rsidP="0094770F" w:rsidRDefault="0094770F" w14:paraId="1D4E0371" w14:textId="2E56AB18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94770F">
        <w:rPr>
          <w:rFonts w:asciiTheme="minorHAnsi" w:hAnsiTheme="minorHAnsi" w:cstheme="minorHAnsi"/>
        </w:rPr>
        <w:t xml:space="preserve">Ellis, S. A., Wojnar, D. M., &amp; Pettinato, M. (2015). Conception, </w:t>
      </w:r>
      <w:r w:rsidR="007051AA">
        <w:rPr>
          <w:rFonts w:asciiTheme="minorHAnsi" w:hAnsiTheme="minorHAnsi" w:cstheme="minorHAnsi"/>
        </w:rPr>
        <w:t>p</w:t>
      </w:r>
      <w:r w:rsidRPr="0094770F">
        <w:rPr>
          <w:rFonts w:asciiTheme="minorHAnsi" w:hAnsiTheme="minorHAnsi" w:cstheme="minorHAnsi"/>
        </w:rPr>
        <w:t xml:space="preserve">regnancy, and </w:t>
      </w:r>
      <w:r w:rsidR="007051AA">
        <w:rPr>
          <w:rFonts w:asciiTheme="minorHAnsi" w:hAnsiTheme="minorHAnsi" w:cstheme="minorHAnsi"/>
        </w:rPr>
        <w:t>b</w:t>
      </w:r>
      <w:r w:rsidRPr="0094770F">
        <w:rPr>
          <w:rFonts w:asciiTheme="minorHAnsi" w:hAnsiTheme="minorHAnsi" w:cstheme="minorHAnsi"/>
        </w:rPr>
        <w:t xml:space="preserve">irth </w:t>
      </w:r>
      <w:r w:rsidR="007051AA">
        <w:rPr>
          <w:rFonts w:asciiTheme="minorHAnsi" w:hAnsiTheme="minorHAnsi" w:cstheme="minorHAnsi"/>
        </w:rPr>
        <w:t>e</w:t>
      </w:r>
      <w:r w:rsidRPr="0094770F">
        <w:rPr>
          <w:rFonts w:asciiTheme="minorHAnsi" w:hAnsiTheme="minorHAnsi" w:cstheme="minorHAnsi"/>
        </w:rPr>
        <w:t xml:space="preserve">xperiences of </w:t>
      </w:r>
      <w:r w:rsidR="007051AA">
        <w:rPr>
          <w:rFonts w:asciiTheme="minorHAnsi" w:hAnsiTheme="minorHAnsi" w:cstheme="minorHAnsi"/>
        </w:rPr>
        <w:t>m</w:t>
      </w:r>
      <w:r w:rsidRPr="0094770F">
        <w:rPr>
          <w:rFonts w:asciiTheme="minorHAnsi" w:hAnsiTheme="minorHAnsi" w:cstheme="minorHAnsi"/>
        </w:rPr>
        <w:t xml:space="preserve">ale and </w:t>
      </w:r>
      <w:r w:rsidR="007051AA">
        <w:rPr>
          <w:rFonts w:asciiTheme="minorHAnsi" w:hAnsiTheme="minorHAnsi" w:cstheme="minorHAnsi"/>
        </w:rPr>
        <w:t>g</w:t>
      </w:r>
      <w:r w:rsidRPr="0094770F">
        <w:rPr>
          <w:rFonts w:asciiTheme="minorHAnsi" w:hAnsiTheme="minorHAnsi" w:cstheme="minorHAnsi"/>
        </w:rPr>
        <w:t xml:space="preserve">ender </w:t>
      </w:r>
      <w:r w:rsidR="007051AA">
        <w:rPr>
          <w:rFonts w:asciiTheme="minorHAnsi" w:hAnsiTheme="minorHAnsi" w:cstheme="minorHAnsi"/>
        </w:rPr>
        <w:t>v</w:t>
      </w:r>
      <w:r w:rsidRPr="0094770F">
        <w:rPr>
          <w:rFonts w:asciiTheme="minorHAnsi" w:hAnsiTheme="minorHAnsi" w:cstheme="minorHAnsi"/>
        </w:rPr>
        <w:t xml:space="preserve">ariant </w:t>
      </w:r>
      <w:r w:rsidR="007051AA">
        <w:rPr>
          <w:rFonts w:asciiTheme="minorHAnsi" w:hAnsiTheme="minorHAnsi" w:cstheme="minorHAnsi"/>
        </w:rPr>
        <w:t>g</w:t>
      </w:r>
      <w:r w:rsidRPr="0094770F">
        <w:rPr>
          <w:rFonts w:asciiTheme="minorHAnsi" w:hAnsiTheme="minorHAnsi" w:cstheme="minorHAnsi"/>
        </w:rPr>
        <w:t xml:space="preserve">estational </w:t>
      </w:r>
      <w:r w:rsidR="007051AA">
        <w:rPr>
          <w:rFonts w:asciiTheme="minorHAnsi" w:hAnsiTheme="minorHAnsi" w:cstheme="minorHAnsi"/>
        </w:rPr>
        <w:t>p</w:t>
      </w:r>
      <w:r w:rsidRPr="0094770F">
        <w:rPr>
          <w:rFonts w:asciiTheme="minorHAnsi" w:hAnsiTheme="minorHAnsi" w:cstheme="minorHAnsi"/>
        </w:rPr>
        <w:t xml:space="preserve">arents: It's </w:t>
      </w:r>
      <w:r w:rsidR="007051AA">
        <w:rPr>
          <w:rFonts w:asciiTheme="minorHAnsi" w:hAnsiTheme="minorHAnsi" w:cstheme="minorHAnsi"/>
        </w:rPr>
        <w:t>h</w:t>
      </w:r>
      <w:r w:rsidRPr="0094770F">
        <w:rPr>
          <w:rFonts w:asciiTheme="minorHAnsi" w:hAnsiTheme="minorHAnsi" w:cstheme="minorHAnsi"/>
        </w:rPr>
        <w:t xml:space="preserve">ow </w:t>
      </w:r>
      <w:r w:rsidR="007051AA">
        <w:rPr>
          <w:rFonts w:asciiTheme="minorHAnsi" w:hAnsiTheme="minorHAnsi" w:cstheme="minorHAnsi"/>
        </w:rPr>
        <w:t>we</w:t>
      </w:r>
      <w:r w:rsidRPr="0094770F">
        <w:rPr>
          <w:rFonts w:asciiTheme="minorHAnsi" w:hAnsiTheme="minorHAnsi" w:cstheme="minorHAnsi"/>
        </w:rPr>
        <w:t xml:space="preserve"> </w:t>
      </w:r>
      <w:r w:rsidR="007051AA">
        <w:rPr>
          <w:rFonts w:asciiTheme="minorHAnsi" w:hAnsiTheme="minorHAnsi" w:cstheme="minorHAnsi"/>
        </w:rPr>
        <w:t>c</w:t>
      </w:r>
      <w:r w:rsidRPr="0094770F">
        <w:rPr>
          <w:rFonts w:asciiTheme="minorHAnsi" w:hAnsiTheme="minorHAnsi" w:cstheme="minorHAnsi"/>
        </w:rPr>
        <w:t xml:space="preserve">ould </w:t>
      </w:r>
      <w:r w:rsidR="007051AA">
        <w:rPr>
          <w:rFonts w:asciiTheme="minorHAnsi" w:hAnsiTheme="minorHAnsi" w:cstheme="minorHAnsi"/>
        </w:rPr>
        <w:t>h</w:t>
      </w:r>
      <w:r w:rsidRPr="0094770F">
        <w:rPr>
          <w:rFonts w:asciiTheme="minorHAnsi" w:hAnsiTheme="minorHAnsi" w:cstheme="minorHAnsi"/>
        </w:rPr>
        <w:t xml:space="preserve">ave a </w:t>
      </w:r>
      <w:r w:rsidR="007051AA">
        <w:rPr>
          <w:rFonts w:asciiTheme="minorHAnsi" w:hAnsiTheme="minorHAnsi" w:cstheme="minorHAnsi"/>
        </w:rPr>
        <w:t>f</w:t>
      </w:r>
      <w:r w:rsidRPr="0094770F">
        <w:rPr>
          <w:rFonts w:asciiTheme="minorHAnsi" w:hAnsiTheme="minorHAnsi" w:cstheme="minorHAnsi"/>
        </w:rPr>
        <w:t xml:space="preserve">amily. </w:t>
      </w:r>
      <w:r w:rsidRPr="0094770F">
        <w:rPr>
          <w:rFonts w:asciiTheme="minorHAnsi" w:hAnsiTheme="minorHAnsi" w:cstheme="minorHAnsi"/>
          <w:i/>
        </w:rPr>
        <w:t>Journal of Midwifery &amp; Women's Health</w:t>
      </w:r>
      <w:r w:rsidRPr="0094770F">
        <w:rPr>
          <w:rFonts w:asciiTheme="minorHAnsi" w:hAnsiTheme="minorHAnsi" w:cstheme="minorHAnsi"/>
        </w:rPr>
        <w:t>,</w:t>
      </w:r>
      <w:r w:rsidRPr="0094770F">
        <w:rPr>
          <w:rFonts w:asciiTheme="minorHAnsi" w:hAnsiTheme="minorHAnsi" w:cstheme="minorHAnsi"/>
          <w:i/>
        </w:rPr>
        <w:t xml:space="preserve"> 60</w:t>
      </w:r>
      <w:r w:rsidRPr="0094770F">
        <w:rPr>
          <w:rFonts w:asciiTheme="minorHAnsi" w:hAnsiTheme="minorHAnsi" w:cstheme="minorHAnsi"/>
        </w:rPr>
        <w:t xml:space="preserve">(1), 62-69. </w:t>
      </w:r>
      <w:r w:rsidRPr="00756875">
        <w:rPr>
          <w:rFonts w:asciiTheme="minorHAnsi" w:hAnsiTheme="minorHAnsi" w:cstheme="minorHAnsi"/>
        </w:rPr>
        <w:t xml:space="preserve">https://doi.org/10.1111/jmwh.12213 </w:t>
      </w:r>
    </w:p>
    <w:p w:rsidRPr="00756875" w:rsidR="0094770F" w:rsidP="0094770F" w:rsidRDefault="0094770F" w14:paraId="54E6D7F2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Fischer, O. J. (2021). Non-binary reproduction: Stories of conception, pregnancy, and birth. </w:t>
      </w:r>
      <w:r w:rsidRPr="00756875">
        <w:rPr>
          <w:rFonts w:asciiTheme="minorHAnsi" w:hAnsiTheme="minorHAnsi" w:cstheme="minorHAnsi"/>
          <w:i/>
        </w:rPr>
        <w:t>International Journal of Transgender Health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22</w:t>
      </w:r>
      <w:r w:rsidRPr="00756875">
        <w:rPr>
          <w:rFonts w:asciiTheme="minorHAnsi" w:hAnsiTheme="minorHAnsi" w:cstheme="minorHAnsi"/>
        </w:rPr>
        <w:t xml:space="preserve">(1-2), 77-88. https://doi.org/10.1080/26895269.2020.1838392 </w:t>
      </w:r>
    </w:p>
    <w:p w:rsidRPr="00756875" w:rsidR="0094770F" w:rsidP="0094770F" w:rsidRDefault="0094770F" w14:paraId="36F74D36" w14:textId="0DC8D243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Hahn, M., Sheran, N., Weber, S., Cohan, D., &amp; Obedin-Maliver, J. (2019). Providing </w:t>
      </w:r>
      <w:r w:rsidRPr="00756875" w:rsidR="007051AA">
        <w:rPr>
          <w:rFonts w:asciiTheme="minorHAnsi" w:hAnsiTheme="minorHAnsi" w:cstheme="minorHAnsi"/>
        </w:rPr>
        <w:t>p</w:t>
      </w:r>
      <w:r w:rsidRPr="00756875">
        <w:rPr>
          <w:rFonts w:asciiTheme="minorHAnsi" w:hAnsiTheme="minorHAnsi" w:cstheme="minorHAnsi"/>
        </w:rPr>
        <w:t>atient-</w:t>
      </w:r>
      <w:r w:rsidRPr="00756875" w:rsidR="007051AA">
        <w:rPr>
          <w:rFonts w:asciiTheme="minorHAnsi" w:hAnsiTheme="minorHAnsi" w:cstheme="minorHAnsi"/>
        </w:rPr>
        <w:t>c</w:t>
      </w:r>
      <w:r w:rsidRPr="00756875">
        <w:rPr>
          <w:rFonts w:asciiTheme="minorHAnsi" w:hAnsiTheme="minorHAnsi" w:cstheme="minorHAnsi"/>
        </w:rPr>
        <w:t xml:space="preserve">entered </w:t>
      </w:r>
      <w:r w:rsidRPr="00756875" w:rsidR="007051AA">
        <w:rPr>
          <w:rFonts w:asciiTheme="minorHAnsi" w:hAnsiTheme="minorHAnsi" w:cstheme="minorHAnsi"/>
        </w:rPr>
        <w:t>p</w:t>
      </w:r>
      <w:r w:rsidRPr="00756875">
        <w:rPr>
          <w:rFonts w:asciiTheme="minorHAnsi" w:hAnsiTheme="minorHAnsi" w:cstheme="minorHAnsi"/>
        </w:rPr>
        <w:t xml:space="preserve">erinatal </w:t>
      </w:r>
      <w:r w:rsidRPr="00756875" w:rsidR="007051AA">
        <w:rPr>
          <w:rFonts w:asciiTheme="minorHAnsi" w:hAnsiTheme="minorHAnsi" w:cstheme="minorHAnsi"/>
        </w:rPr>
        <w:t>c</w:t>
      </w:r>
      <w:r w:rsidRPr="00756875">
        <w:rPr>
          <w:rFonts w:asciiTheme="minorHAnsi" w:hAnsiTheme="minorHAnsi" w:cstheme="minorHAnsi"/>
        </w:rPr>
        <w:t xml:space="preserve">are for </w:t>
      </w:r>
      <w:r w:rsidRPr="00756875" w:rsidR="007051AA">
        <w:rPr>
          <w:rFonts w:asciiTheme="minorHAnsi" w:hAnsiTheme="minorHAnsi" w:cstheme="minorHAnsi"/>
        </w:rPr>
        <w:t>t</w:t>
      </w:r>
      <w:r w:rsidRPr="00756875">
        <w:rPr>
          <w:rFonts w:asciiTheme="minorHAnsi" w:hAnsiTheme="minorHAnsi" w:cstheme="minorHAnsi"/>
        </w:rPr>
        <w:t xml:space="preserve">ransgender </w:t>
      </w:r>
      <w:r w:rsidRPr="00756875" w:rsidR="007051AA">
        <w:rPr>
          <w:rFonts w:asciiTheme="minorHAnsi" w:hAnsiTheme="minorHAnsi" w:cstheme="minorHAnsi"/>
        </w:rPr>
        <w:t>m</w:t>
      </w:r>
      <w:r w:rsidRPr="00756875">
        <w:rPr>
          <w:rFonts w:asciiTheme="minorHAnsi" w:hAnsiTheme="minorHAnsi" w:cstheme="minorHAnsi"/>
        </w:rPr>
        <w:t xml:space="preserve">en and </w:t>
      </w:r>
      <w:r w:rsidRPr="00756875" w:rsidR="007051AA">
        <w:rPr>
          <w:rFonts w:asciiTheme="minorHAnsi" w:hAnsiTheme="minorHAnsi" w:cstheme="minorHAnsi"/>
        </w:rPr>
        <w:t>g</w:t>
      </w:r>
      <w:r w:rsidRPr="00756875">
        <w:rPr>
          <w:rFonts w:asciiTheme="minorHAnsi" w:hAnsiTheme="minorHAnsi" w:cstheme="minorHAnsi"/>
        </w:rPr>
        <w:t>ender-</w:t>
      </w:r>
      <w:r w:rsidRPr="00756875" w:rsidR="007051AA">
        <w:rPr>
          <w:rFonts w:asciiTheme="minorHAnsi" w:hAnsiTheme="minorHAnsi" w:cstheme="minorHAnsi"/>
        </w:rPr>
        <w:t>d</w:t>
      </w:r>
      <w:r w:rsidRPr="00756875">
        <w:rPr>
          <w:rFonts w:asciiTheme="minorHAnsi" w:hAnsiTheme="minorHAnsi" w:cstheme="minorHAnsi"/>
        </w:rPr>
        <w:t xml:space="preserve">iverse </w:t>
      </w:r>
      <w:r w:rsidRPr="00756875" w:rsidR="007051AA">
        <w:rPr>
          <w:rFonts w:asciiTheme="minorHAnsi" w:hAnsiTheme="minorHAnsi" w:cstheme="minorHAnsi"/>
        </w:rPr>
        <w:t>i</w:t>
      </w:r>
      <w:r w:rsidRPr="00756875">
        <w:rPr>
          <w:rFonts w:asciiTheme="minorHAnsi" w:hAnsiTheme="minorHAnsi" w:cstheme="minorHAnsi"/>
        </w:rPr>
        <w:t xml:space="preserve">ndividuals: A </w:t>
      </w:r>
      <w:r w:rsidRPr="00756875" w:rsidR="007051AA">
        <w:rPr>
          <w:rFonts w:asciiTheme="minorHAnsi" w:hAnsiTheme="minorHAnsi" w:cstheme="minorHAnsi"/>
        </w:rPr>
        <w:t>c</w:t>
      </w:r>
      <w:r w:rsidRPr="00756875">
        <w:rPr>
          <w:rFonts w:asciiTheme="minorHAnsi" w:hAnsiTheme="minorHAnsi" w:cstheme="minorHAnsi"/>
        </w:rPr>
        <w:t xml:space="preserve">ollaborative </w:t>
      </w:r>
      <w:r w:rsidRPr="00756875" w:rsidR="007051AA">
        <w:rPr>
          <w:rFonts w:asciiTheme="minorHAnsi" w:hAnsiTheme="minorHAnsi" w:cstheme="minorHAnsi"/>
        </w:rPr>
        <w:t>m</w:t>
      </w:r>
      <w:r w:rsidRPr="00756875">
        <w:rPr>
          <w:rFonts w:asciiTheme="minorHAnsi" w:hAnsiTheme="minorHAnsi" w:cstheme="minorHAnsi"/>
        </w:rPr>
        <w:t xml:space="preserve">ultidisciplinary </w:t>
      </w:r>
      <w:r w:rsidRPr="00756875" w:rsidR="007051AA">
        <w:rPr>
          <w:rFonts w:asciiTheme="minorHAnsi" w:hAnsiTheme="minorHAnsi" w:cstheme="minorHAnsi"/>
        </w:rPr>
        <w:t>t</w:t>
      </w:r>
      <w:r w:rsidRPr="00756875">
        <w:rPr>
          <w:rFonts w:asciiTheme="minorHAnsi" w:hAnsiTheme="minorHAnsi" w:cstheme="minorHAnsi"/>
        </w:rPr>
        <w:t xml:space="preserve">eam </w:t>
      </w:r>
      <w:r w:rsidRPr="00756875" w:rsidR="007051AA">
        <w:rPr>
          <w:rFonts w:asciiTheme="minorHAnsi" w:hAnsiTheme="minorHAnsi" w:cstheme="minorHAnsi"/>
        </w:rPr>
        <w:t>a</w:t>
      </w:r>
      <w:r w:rsidRPr="00756875">
        <w:rPr>
          <w:rFonts w:asciiTheme="minorHAnsi" w:hAnsiTheme="minorHAnsi" w:cstheme="minorHAnsi"/>
        </w:rPr>
        <w:t xml:space="preserve">pproach. </w:t>
      </w:r>
      <w:r w:rsidRPr="00756875">
        <w:rPr>
          <w:rFonts w:asciiTheme="minorHAnsi" w:hAnsiTheme="minorHAnsi" w:cstheme="minorHAnsi"/>
          <w:i/>
        </w:rPr>
        <w:t>Obstetrics and gynecology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134</w:t>
      </w:r>
      <w:r w:rsidRPr="00756875">
        <w:rPr>
          <w:rFonts w:asciiTheme="minorHAnsi" w:hAnsiTheme="minorHAnsi" w:cstheme="minorHAnsi"/>
        </w:rPr>
        <w:t xml:space="preserve">(5), 959-963. https://doi.org/10.1097/AOG.0000000000003506 </w:t>
      </w:r>
    </w:p>
    <w:p w:rsidRPr="00756875" w:rsidR="0094770F" w:rsidP="0094770F" w:rsidRDefault="0094770F" w14:paraId="4859D27B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Hoffkling, A., Obedin-Maliver, J., &amp; Sevelius, J. (2017). From erasure to opportunity: a qualitative study of the experiences of transgender men around pregnancy and recommendations for providers. </w:t>
      </w:r>
      <w:r w:rsidRPr="00756875">
        <w:rPr>
          <w:rFonts w:asciiTheme="minorHAnsi" w:hAnsiTheme="minorHAnsi" w:cstheme="minorHAnsi"/>
          <w:i/>
        </w:rPr>
        <w:t>BMC Pregnancy and Childbirth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17</w:t>
      </w:r>
      <w:r w:rsidRPr="00756875">
        <w:rPr>
          <w:rFonts w:asciiTheme="minorHAnsi" w:hAnsiTheme="minorHAnsi" w:cstheme="minorHAnsi"/>
        </w:rPr>
        <w:t>(S2). https://doi.org/10.1186/s12884-017-1491</w:t>
      </w:r>
    </w:p>
    <w:p w:rsidRPr="00756875" w:rsidR="0094770F" w:rsidP="0094770F" w:rsidRDefault="0094770F" w14:paraId="38EC8590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International Confederation of Midwives (ICM). (2014). </w:t>
      </w:r>
      <w:r w:rsidRPr="00756875">
        <w:rPr>
          <w:rFonts w:asciiTheme="minorHAnsi" w:hAnsiTheme="minorHAnsi" w:cstheme="minorHAnsi"/>
          <w:i/>
        </w:rPr>
        <w:t>Philosophy and model of midwifery care</w:t>
      </w:r>
      <w:r w:rsidRPr="00756875">
        <w:rPr>
          <w:rFonts w:asciiTheme="minorHAnsi" w:hAnsiTheme="minorHAnsi" w:cstheme="minorHAnsi"/>
        </w:rPr>
        <w:t>. https://www.internationalmidwives.org/assets/files/definitions-files/2018/06/eng-philosophy-and-model-of-midwifery-care.pdf</w:t>
      </w:r>
    </w:p>
    <w:p w:rsidRPr="00756875" w:rsidR="0094770F" w:rsidP="0094770F" w:rsidRDefault="0094770F" w14:paraId="64CCA6B9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James-Abra, S., Tarasoff, L. A., Green, D., Epstein, R., Anderson, S., Marvel, S., Steele, L. S., &amp; Ross, L. E. (2015). Trans people's experiences with assisted reproduction services: a qualitative study. </w:t>
      </w:r>
      <w:r w:rsidRPr="00756875">
        <w:rPr>
          <w:rFonts w:asciiTheme="minorHAnsi" w:hAnsiTheme="minorHAnsi" w:cstheme="minorHAnsi"/>
          <w:i/>
        </w:rPr>
        <w:t>Human Reproduction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30</w:t>
      </w:r>
      <w:r w:rsidRPr="00756875">
        <w:rPr>
          <w:rFonts w:asciiTheme="minorHAnsi" w:hAnsiTheme="minorHAnsi" w:cstheme="minorHAnsi"/>
        </w:rPr>
        <w:t xml:space="preserve">(6), 1365-1374. https://doi.org/10.1093/humrep/dev087 </w:t>
      </w:r>
    </w:p>
    <w:p w:rsidRPr="00756875" w:rsidR="0094770F" w:rsidP="0094770F" w:rsidRDefault="0094770F" w14:paraId="1A24F701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Klittmark, S., Garzón, M., Andersson, E., &amp; Wells, M. B. (2019). LGBTQ competence wanted: LGBTQ parents' experiences of reproductive health care in Sweden. </w:t>
      </w:r>
      <w:r w:rsidRPr="00756875">
        <w:rPr>
          <w:rFonts w:asciiTheme="minorHAnsi" w:hAnsiTheme="minorHAnsi" w:cstheme="minorHAnsi"/>
          <w:i/>
        </w:rPr>
        <w:t>Scand J Caring Sci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33</w:t>
      </w:r>
      <w:r w:rsidRPr="00756875">
        <w:rPr>
          <w:rFonts w:asciiTheme="minorHAnsi" w:hAnsiTheme="minorHAnsi" w:cstheme="minorHAnsi"/>
        </w:rPr>
        <w:t xml:space="preserve">(2), 417-426. https://doi.org/10.1111/scs.12639 </w:t>
      </w:r>
    </w:p>
    <w:p w:rsidRPr="00756875" w:rsidR="0094770F" w:rsidP="0094770F" w:rsidRDefault="0094770F" w14:paraId="17249524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Malmquist, A., Jonsson, L., Wikström, J., &amp; Nieminen, K. (2019). Minority stress adds an additional layer to fear of childbirth in lesbian and bisexual women, and transgender people. </w:t>
      </w:r>
      <w:r w:rsidRPr="00756875">
        <w:rPr>
          <w:rFonts w:asciiTheme="minorHAnsi" w:hAnsiTheme="minorHAnsi" w:cstheme="minorHAnsi"/>
          <w:i/>
        </w:rPr>
        <w:t>Midwifery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79</w:t>
      </w:r>
      <w:r w:rsidRPr="00756875">
        <w:rPr>
          <w:rFonts w:asciiTheme="minorHAnsi" w:hAnsiTheme="minorHAnsi" w:cstheme="minorHAnsi"/>
        </w:rPr>
        <w:t xml:space="preserve">, 102551. https://doi.org/10.1016/j.midw.2019.102551 </w:t>
      </w:r>
    </w:p>
    <w:p w:rsidRPr="00756875" w:rsidR="0094770F" w:rsidP="0094770F" w:rsidRDefault="0094770F" w14:paraId="717A4D42" w14:textId="77777777">
      <w:pPr>
        <w:pStyle w:val="EndNoteBibliography"/>
        <w:spacing w:after="0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Nursing and Midwifery Board of Australia (NMBA). (2018). </w:t>
      </w:r>
      <w:r w:rsidRPr="00756875">
        <w:rPr>
          <w:rFonts w:asciiTheme="minorHAnsi" w:hAnsiTheme="minorHAnsi" w:cstheme="minorHAnsi"/>
          <w:i/>
        </w:rPr>
        <w:t>Midwife standard for practice</w:t>
      </w:r>
      <w:r w:rsidRPr="00756875">
        <w:rPr>
          <w:rFonts w:asciiTheme="minorHAnsi" w:hAnsiTheme="minorHAnsi" w:cstheme="minorHAnsi"/>
        </w:rPr>
        <w:t>. https://www.nursingmidwiferyboard.gov.au/documents/default.aspx?record=WD18%2f25281&amp;dbid=AP&amp;chksum=kYbO0%2bO7kx9I%2fBlvmKH%2bwg%3d%3d</w:t>
      </w:r>
    </w:p>
    <w:p w:rsidR="0094770F" w:rsidP="0094770F" w:rsidRDefault="0094770F" w14:paraId="7BF2CC3E" w14:textId="174EE59C">
      <w:pPr>
        <w:pStyle w:val="EndNoteBibliography"/>
        <w:ind w:left="720" w:hanging="720"/>
        <w:rPr>
          <w:rFonts w:asciiTheme="minorHAnsi" w:hAnsiTheme="minorHAnsi" w:cstheme="minorHAnsi"/>
        </w:rPr>
      </w:pPr>
      <w:r w:rsidRPr="00756875">
        <w:rPr>
          <w:rFonts w:asciiTheme="minorHAnsi" w:hAnsiTheme="minorHAnsi" w:cstheme="minorHAnsi"/>
        </w:rPr>
        <w:t xml:space="preserve">Puckett, J. A., Cleary, P., Rossman, K., Mustanski, B., &amp; Newcomb, M. E. (2018). Barriers to </w:t>
      </w:r>
      <w:r w:rsidRPr="00756875" w:rsidR="007051AA">
        <w:rPr>
          <w:rFonts w:asciiTheme="minorHAnsi" w:hAnsiTheme="minorHAnsi" w:cstheme="minorHAnsi"/>
        </w:rPr>
        <w:t>g</w:t>
      </w:r>
      <w:r w:rsidRPr="00756875">
        <w:rPr>
          <w:rFonts w:asciiTheme="minorHAnsi" w:hAnsiTheme="minorHAnsi" w:cstheme="minorHAnsi"/>
        </w:rPr>
        <w:t>ender-</w:t>
      </w:r>
      <w:r w:rsidRPr="00756875" w:rsidR="007051AA">
        <w:rPr>
          <w:rFonts w:asciiTheme="minorHAnsi" w:hAnsiTheme="minorHAnsi" w:cstheme="minorHAnsi"/>
        </w:rPr>
        <w:t>a</w:t>
      </w:r>
      <w:r w:rsidRPr="00756875">
        <w:rPr>
          <w:rFonts w:asciiTheme="minorHAnsi" w:hAnsiTheme="minorHAnsi" w:cstheme="minorHAnsi"/>
        </w:rPr>
        <w:t xml:space="preserve">ffirming </w:t>
      </w:r>
      <w:r w:rsidRPr="00756875" w:rsidR="007051AA">
        <w:rPr>
          <w:rFonts w:asciiTheme="minorHAnsi" w:hAnsiTheme="minorHAnsi" w:cstheme="minorHAnsi"/>
        </w:rPr>
        <w:t>c</w:t>
      </w:r>
      <w:r w:rsidRPr="00756875">
        <w:rPr>
          <w:rFonts w:asciiTheme="minorHAnsi" w:hAnsiTheme="minorHAnsi" w:cstheme="minorHAnsi"/>
        </w:rPr>
        <w:t xml:space="preserve">are for </w:t>
      </w:r>
      <w:r w:rsidRPr="00756875" w:rsidR="007051AA">
        <w:rPr>
          <w:rFonts w:asciiTheme="minorHAnsi" w:hAnsiTheme="minorHAnsi" w:cstheme="minorHAnsi"/>
        </w:rPr>
        <w:t>t</w:t>
      </w:r>
      <w:r w:rsidRPr="00756875">
        <w:rPr>
          <w:rFonts w:asciiTheme="minorHAnsi" w:hAnsiTheme="minorHAnsi" w:cstheme="minorHAnsi"/>
        </w:rPr>
        <w:t xml:space="preserve">ransgender and </w:t>
      </w:r>
      <w:r w:rsidRPr="00756875" w:rsidR="007051AA">
        <w:rPr>
          <w:rFonts w:asciiTheme="minorHAnsi" w:hAnsiTheme="minorHAnsi" w:cstheme="minorHAnsi"/>
        </w:rPr>
        <w:t>g</w:t>
      </w:r>
      <w:r w:rsidRPr="00756875">
        <w:rPr>
          <w:rFonts w:asciiTheme="minorHAnsi" w:hAnsiTheme="minorHAnsi" w:cstheme="minorHAnsi"/>
        </w:rPr>
        <w:t xml:space="preserve">ender </w:t>
      </w:r>
      <w:r w:rsidRPr="00756875" w:rsidR="007051AA">
        <w:rPr>
          <w:rFonts w:asciiTheme="minorHAnsi" w:hAnsiTheme="minorHAnsi" w:cstheme="minorHAnsi"/>
        </w:rPr>
        <w:t>n</w:t>
      </w:r>
      <w:r w:rsidRPr="00756875">
        <w:rPr>
          <w:rFonts w:asciiTheme="minorHAnsi" w:hAnsiTheme="minorHAnsi" w:cstheme="minorHAnsi"/>
        </w:rPr>
        <w:t xml:space="preserve">onconforming </w:t>
      </w:r>
      <w:r w:rsidRPr="00756875" w:rsidR="007051AA">
        <w:rPr>
          <w:rFonts w:asciiTheme="minorHAnsi" w:hAnsiTheme="minorHAnsi" w:cstheme="minorHAnsi"/>
        </w:rPr>
        <w:t>i</w:t>
      </w:r>
      <w:r w:rsidRPr="00756875">
        <w:rPr>
          <w:rFonts w:asciiTheme="minorHAnsi" w:hAnsiTheme="minorHAnsi" w:cstheme="minorHAnsi"/>
        </w:rPr>
        <w:t xml:space="preserve">ndividuals. </w:t>
      </w:r>
      <w:r w:rsidRPr="00756875">
        <w:rPr>
          <w:rFonts w:asciiTheme="minorHAnsi" w:hAnsiTheme="minorHAnsi" w:cstheme="minorHAnsi"/>
          <w:i/>
        </w:rPr>
        <w:t>Sexuality Research and Social Policy</w:t>
      </w:r>
      <w:r w:rsidRPr="00756875">
        <w:rPr>
          <w:rFonts w:asciiTheme="minorHAnsi" w:hAnsiTheme="minorHAnsi" w:cstheme="minorHAnsi"/>
        </w:rPr>
        <w:t>,</w:t>
      </w:r>
      <w:r w:rsidRPr="00756875">
        <w:rPr>
          <w:rFonts w:asciiTheme="minorHAnsi" w:hAnsiTheme="minorHAnsi" w:cstheme="minorHAnsi"/>
          <w:i/>
        </w:rPr>
        <w:t xml:space="preserve"> 15</w:t>
      </w:r>
      <w:r w:rsidRPr="00756875">
        <w:rPr>
          <w:rFonts w:asciiTheme="minorHAnsi" w:hAnsiTheme="minorHAnsi" w:cstheme="minorHAnsi"/>
        </w:rPr>
        <w:t>(1), 48-59. https://doi.org/10.1007/s13178-017-0295-8</w:t>
      </w:r>
      <w:r w:rsidRPr="0094770F">
        <w:rPr>
          <w:rFonts w:asciiTheme="minorHAnsi" w:hAnsiTheme="minorHAnsi" w:cstheme="minorHAnsi"/>
        </w:rPr>
        <w:t xml:space="preserve"> </w:t>
      </w:r>
    </w:p>
    <w:p w:rsidR="004A478C" w:rsidRDefault="004A478C" w14:paraId="6EE7486B" w14:textId="2835683A">
      <w:pPr>
        <w:rPr>
          <w:rFonts w:cstheme="minorHAnsi"/>
          <w:noProof/>
          <w:lang w:val="en-US"/>
        </w:rPr>
      </w:pPr>
    </w:p>
    <w:sectPr w:rsidR="004A478C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F14" w:rsidP="005B2548" w:rsidRDefault="004B1F14" w14:paraId="3B59C649" w14:textId="77777777">
      <w:pPr>
        <w:spacing w:after="0" w:line="240" w:lineRule="auto"/>
      </w:pPr>
      <w:r>
        <w:separator/>
      </w:r>
    </w:p>
  </w:endnote>
  <w:endnote w:type="continuationSeparator" w:id="0">
    <w:p w:rsidR="004B1F14" w:rsidP="005B2548" w:rsidRDefault="004B1F14" w14:paraId="16E981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F14" w:rsidP="005B2548" w:rsidRDefault="004B1F14" w14:paraId="04466C75" w14:textId="77777777">
      <w:pPr>
        <w:spacing w:after="0" w:line="240" w:lineRule="auto"/>
      </w:pPr>
      <w:r>
        <w:separator/>
      </w:r>
    </w:p>
  </w:footnote>
  <w:footnote w:type="continuationSeparator" w:id="0">
    <w:p w:rsidR="004B1F14" w:rsidP="005B2548" w:rsidRDefault="004B1F14" w14:paraId="61552E9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747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5B2548" w:rsidRDefault="005B2548" w14:paraId="1A8C378E" w14:textId="082CE98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2548" w:rsidRDefault="005B2548" w14:paraId="00FB7DB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51D1D"/>
    <w:multiLevelType w:val="multilevel"/>
    <w:tmpl w:val="3EC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88946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DB7ED0"/>
    <w:rsid w:val="00007A22"/>
    <w:rsid w:val="000604DC"/>
    <w:rsid w:val="00067FAB"/>
    <w:rsid w:val="00152BFE"/>
    <w:rsid w:val="002929F6"/>
    <w:rsid w:val="002D7FC3"/>
    <w:rsid w:val="00300676"/>
    <w:rsid w:val="00361BB9"/>
    <w:rsid w:val="0038582E"/>
    <w:rsid w:val="003B645A"/>
    <w:rsid w:val="004A478C"/>
    <w:rsid w:val="004B1F14"/>
    <w:rsid w:val="005A32FB"/>
    <w:rsid w:val="005B2548"/>
    <w:rsid w:val="006513EC"/>
    <w:rsid w:val="00704CFD"/>
    <w:rsid w:val="007051AA"/>
    <w:rsid w:val="00756875"/>
    <w:rsid w:val="008214FF"/>
    <w:rsid w:val="00852352"/>
    <w:rsid w:val="00930DE3"/>
    <w:rsid w:val="0094770F"/>
    <w:rsid w:val="009B1728"/>
    <w:rsid w:val="009C3BE9"/>
    <w:rsid w:val="00A07385"/>
    <w:rsid w:val="00A23B4A"/>
    <w:rsid w:val="00BA3B5E"/>
    <w:rsid w:val="00BC414D"/>
    <w:rsid w:val="00DB7ED0"/>
    <w:rsid w:val="00DD03D4"/>
    <w:rsid w:val="00DD2C4C"/>
    <w:rsid w:val="00E13C94"/>
    <w:rsid w:val="00E82041"/>
    <w:rsid w:val="1BD869A9"/>
    <w:rsid w:val="28AB523F"/>
    <w:rsid w:val="3CDD9841"/>
    <w:rsid w:val="589BBC32"/>
    <w:rsid w:val="7130459D"/>
    <w:rsid w:val="737C10F2"/>
    <w:rsid w:val="7BCAE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1F111"/>
  <w15:chartTrackingRefBased/>
  <w15:docId w15:val="{40643B75-4513-4877-813E-79889C2A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B7ED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BibliographyTitle" w:customStyle="1">
    <w:name w:val="EndNote Bibliography Title"/>
    <w:basedOn w:val="Normal"/>
    <w:link w:val="EndNoteBibliographyTitleChar"/>
    <w:rsid w:val="00DB7ED0"/>
    <w:pPr>
      <w:spacing w:after="0"/>
      <w:jc w:val="center"/>
    </w:pPr>
    <w:rPr>
      <w:rFonts w:ascii="Calibri" w:hAnsi="Calibri" w:cs="Calibri"/>
      <w:noProof/>
      <w:lang w:val="en-US"/>
    </w:rPr>
  </w:style>
  <w:style w:type="character" w:styleId="EndNoteBibliographyTitleChar" w:customStyle="1">
    <w:name w:val="EndNote Bibliography Title Char"/>
    <w:basedOn w:val="DefaultParagraphFont"/>
    <w:link w:val="EndNoteBibliographyTitle"/>
    <w:rsid w:val="00DB7ED0"/>
    <w:rPr>
      <w:rFonts w:ascii="Calibri" w:hAnsi="Calibri" w:cs="Calibri"/>
      <w:noProof/>
      <w:lang w:val="en-US"/>
    </w:rPr>
  </w:style>
  <w:style w:type="paragraph" w:styleId="EndNoteBibliography" w:customStyle="1">
    <w:name w:val="EndNote Bibliography"/>
    <w:basedOn w:val="Normal"/>
    <w:link w:val="EndNoteBibliographyChar"/>
    <w:rsid w:val="00DB7ED0"/>
    <w:pPr>
      <w:spacing w:line="240" w:lineRule="auto"/>
    </w:pPr>
    <w:rPr>
      <w:rFonts w:ascii="Calibri" w:hAnsi="Calibri" w:cs="Calibri"/>
      <w:noProof/>
      <w:lang w:val="en-US"/>
    </w:rPr>
  </w:style>
  <w:style w:type="character" w:styleId="EndNoteBibliographyChar" w:customStyle="1">
    <w:name w:val="EndNote Bibliography Char"/>
    <w:basedOn w:val="DefaultParagraphFont"/>
    <w:link w:val="EndNoteBibliography"/>
    <w:rsid w:val="00DB7ED0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DB7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ED0"/>
    <w:rPr>
      <w:color w:val="605E5C"/>
      <w:shd w:val="clear" w:color="auto" w:fill="E1DFDD"/>
    </w:rPr>
  </w:style>
  <w:style w:type="character" w:styleId="textlayer--absolute" w:customStyle="1">
    <w:name w:val="textlayer--absolute"/>
    <w:basedOn w:val="DefaultParagraphFont"/>
    <w:rsid w:val="00DB7ED0"/>
  </w:style>
  <w:style w:type="character" w:styleId="Emphasis">
    <w:name w:val="Emphasis"/>
    <w:basedOn w:val="DefaultParagraphFont"/>
    <w:uiPriority w:val="20"/>
    <w:qFormat/>
    <w:rsid w:val="00DB7ED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B7ED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ED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B7ED0"/>
  </w:style>
  <w:style w:type="paragraph" w:styleId="Footer">
    <w:name w:val="footer"/>
    <w:basedOn w:val="Normal"/>
    <w:link w:val="FooterChar"/>
    <w:uiPriority w:val="99"/>
    <w:unhideWhenUsed/>
    <w:rsid w:val="00DB7ED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B7ED0"/>
  </w:style>
  <w:style w:type="table" w:styleId="TableGrid">
    <w:name w:val="Table Grid"/>
    <w:basedOn w:val="TableNormal"/>
    <w:uiPriority w:val="39"/>
    <w:rsid w:val="004A478C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14F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21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4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214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29e4438b7b2f477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215f-a15b-4d57-afe0-3d5aacc5a9f0}"/>
      </w:docPartPr>
      <w:docPartBody>
        <w:p w14:paraId="0AFE625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5" ma:contentTypeDescription="Create a new document." ma:contentTypeScope="" ma:versionID="6e722b2ae43406a1c896754d21c13386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79aa39bc8c3b466c001d89fb3ec3b7be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E6495-46C2-4D05-83AB-2176D36A91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24E817-AEF0-4DF7-AC0A-AB9D4F01D2D5}"/>
</file>

<file path=customXml/itemProps3.xml><?xml version="1.0" encoding="utf-8"?>
<ds:datastoreItem xmlns:ds="http://schemas.openxmlformats.org/officeDocument/2006/customXml" ds:itemID="{AF44CED6-77F8-47A5-A773-235DE7B5EA1E}"/>
</file>

<file path=customXml/itemProps4.xml><?xml version="1.0" encoding="utf-8"?>
<ds:datastoreItem xmlns:ds="http://schemas.openxmlformats.org/officeDocument/2006/customXml" ds:itemID="{CDC56343-598D-4A92-B1D3-71140EA455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Emily Jansch</dc:creator>
  <keywords/>
  <dc:description/>
  <lastModifiedBy>Marjorie.Atchan</lastModifiedBy>
  <revision>9</revision>
  <dcterms:created xsi:type="dcterms:W3CDTF">2022-09-05T01:10:00.0000000Z</dcterms:created>
  <dcterms:modified xsi:type="dcterms:W3CDTF">2022-09-07T07:05:23.8260170Z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0x0101008906EC9853FEED438B8774253D38AEA0</vt:lpwstr>
  </property>
  <property fmtid="{D5CDD505-2E9C-101B-9397-08002B2CF9AE}" pid="3" name="MediaServiceImageTags">
    <vt:lpwstr/>
  </property>
</Properties>
</file>