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3DE0" w14:paraId="301662A8" w14:textId="77777777" w:rsidTr="00AC517B">
        <w:tc>
          <w:tcPr>
            <w:tcW w:w="4508" w:type="dxa"/>
          </w:tcPr>
          <w:p w14:paraId="6C3BBCC8" w14:textId="77777777" w:rsidR="002B3DE0" w:rsidRPr="004E3D6C" w:rsidRDefault="002B3DE0" w:rsidP="002337CC">
            <w:pPr>
              <w:rPr>
                <w:b/>
                <w:bCs/>
                <w:lang w:val="en-US"/>
              </w:rPr>
            </w:pPr>
            <w:r w:rsidRPr="004E3D6C">
              <w:rPr>
                <w:b/>
                <w:bCs/>
                <w:lang w:val="en-US"/>
              </w:rPr>
              <w:t>Student ID number:</w:t>
            </w:r>
          </w:p>
        </w:tc>
        <w:tc>
          <w:tcPr>
            <w:tcW w:w="4508" w:type="dxa"/>
          </w:tcPr>
          <w:p w14:paraId="4AC62F6E" w14:textId="77777777" w:rsidR="002B3DE0" w:rsidRDefault="002B3DE0" w:rsidP="002337CC">
            <w:pPr>
              <w:rPr>
                <w:lang w:val="en-US"/>
              </w:rPr>
            </w:pPr>
            <w:r>
              <w:rPr>
                <w:lang w:val="en-US"/>
              </w:rPr>
              <w:t>u3013066</w:t>
            </w:r>
          </w:p>
        </w:tc>
      </w:tr>
      <w:tr w:rsidR="002B3DE0" w14:paraId="3702BEFA" w14:textId="77777777" w:rsidTr="00AC517B">
        <w:tc>
          <w:tcPr>
            <w:tcW w:w="4508" w:type="dxa"/>
          </w:tcPr>
          <w:p w14:paraId="65D39CBF" w14:textId="77777777" w:rsidR="002B3DE0" w:rsidRPr="004E3D6C" w:rsidRDefault="002B3DE0" w:rsidP="002337CC">
            <w:pPr>
              <w:rPr>
                <w:b/>
                <w:bCs/>
                <w:lang w:val="en-US"/>
              </w:rPr>
            </w:pPr>
            <w:r w:rsidRPr="004E3D6C">
              <w:rPr>
                <w:b/>
                <w:bCs/>
                <w:lang w:val="en-US"/>
              </w:rPr>
              <w:t>Unit Name:</w:t>
            </w:r>
          </w:p>
        </w:tc>
        <w:tc>
          <w:tcPr>
            <w:tcW w:w="4508" w:type="dxa"/>
          </w:tcPr>
          <w:p w14:paraId="023143CD" w14:textId="081C32E8" w:rsidR="002B3DE0" w:rsidRDefault="002B3DE0" w:rsidP="002337CC">
            <w:pPr>
              <w:rPr>
                <w:lang w:val="en-US"/>
              </w:rPr>
            </w:pPr>
            <w:r>
              <w:rPr>
                <w:lang w:val="en-US"/>
              </w:rPr>
              <w:t>Continuity Midwifery B</w:t>
            </w:r>
          </w:p>
        </w:tc>
      </w:tr>
      <w:tr w:rsidR="002B3DE0" w14:paraId="7877BFF8" w14:textId="77777777" w:rsidTr="00AC517B">
        <w:tc>
          <w:tcPr>
            <w:tcW w:w="4508" w:type="dxa"/>
          </w:tcPr>
          <w:p w14:paraId="7F655CCD" w14:textId="77777777" w:rsidR="002B3DE0" w:rsidRPr="004E3D6C" w:rsidRDefault="002B3DE0" w:rsidP="002337CC">
            <w:pPr>
              <w:rPr>
                <w:b/>
                <w:bCs/>
                <w:lang w:val="en-US"/>
              </w:rPr>
            </w:pPr>
            <w:r w:rsidRPr="004E3D6C">
              <w:rPr>
                <w:b/>
                <w:bCs/>
                <w:lang w:val="en-US"/>
              </w:rPr>
              <w:t>Assessment:</w:t>
            </w:r>
          </w:p>
        </w:tc>
        <w:tc>
          <w:tcPr>
            <w:tcW w:w="4508" w:type="dxa"/>
          </w:tcPr>
          <w:p w14:paraId="6EA62F76" w14:textId="2B0C1028" w:rsidR="002B3DE0" w:rsidRDefault="002B3DE0" w:rsidP="002337CC">
            <w:pPr>
              <w:rPr>
                <w:lang w:val="en-US"/>
              </w:rPr>
            </w:pPr>
            <w:r>
              <w:rPr>
                <w:lang w:val="en-US"/>
              </w:rPr>
              <w:t>Conference Abstract and Reference List</w:t>
            </w:r>
          </w:p>
        </w:tc>
      </w:tr>
      <w:tr w:rsidR="002B3DE0" w14:paraId="1EE89A0A" w14:textId="77777777" w:rsidTr="00AC517B">
        <w:tc>
          <w:tcPr>
            <w:tcW w:w="4508" w:type="dxa"/>
          </w:tcPr>
          <w:p w14:paraId="250C81E9" w14:textId="77777777" w:rsidR="002B3DE0" w:rsidRPr="004E3D6C" w:rsidRDefault="002B3DE0" w:rsidP="002337CC">
            <w:pPr>
              <w:rPr>
                <w:b/>
                <w:bCs/>
                <w:lang w:val="en-US"/>
              </w:rPr>
            </w:pPr>
            <w:r w:rsidRPr="004E3D6C">
              <w:rPr>
                <w:b/>
                <w:bCs/>
                <w:lang w:val="en-US"/>
              </w:rPr>
              <w:t>Word Count:</w:t>
            </w:r>
          </w:p>
        </w:tc>
        <w:tc>
          <w:tcPr>
            <w:tcW w:w="4508" w:type="dxa"/>
          </w:tcPr>
          <w:p w14:paraId="6BE08203" w14:textId="439562DC" w:rsidR="002B3DE0" w:rsidRDefault="00A03583" w:rsidP="002337C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8083E">
              <w:rPr>
                <w:lang w:val="en-US"/>
              </w:rPr>
              <w:t>4</w:t>
            </w:r>
            <w:r w:rsidR="00424B0F">
              <w:rPr>
                <w:lang w:val="en-US"/>
              </w:rPr>
              <w:t>6</w:t>
            </w:r>
          </w:p>
        </w:tc>
      </w:tr>
      <w:tr w:rsidR="002B3DE0" w14:paraId="1F7B9454" w14:textId="77777777" w:rsidTr="00AC517B">
        <w:tc>
          <w:tcPr>
            <w:tcW w:w="4508" w:type="dxa"/>
          </w:tcPr>
          <w:p w14:paraId="4AC42BE6" w14:textId="60A9DE29" w:rsidR="002B3DE0" w:rsidRPr="004E3D6C" w:rsidRDefault="002B3DE0" w:rsidP="002337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Policy:</w:t>
            </w:r>
          </w:p>
        </w:tc>
        <w:tc>
          <w:tcPr>
            <w:tcW w:w="4508" w:type="dxa"/>
          </w:tcPr>
          <w:p w14:paraId="62D4F9AF" w14:textId="7C6D6153" w:rsidR="002B3DE0" w:rsidRDefault="002B3DE0" w:rsidP="002337CC">
            <w:pPr>
              <w:rPr>
                <w:lang w:val="en-US"/>
              </w:rPr>
            </w:pPr>
            <w:r>
              <w:rPr>
                <w:lang w:val="en-US"/>
              </w:rPr>
              <w:t>Promoting Birth as Normal</w:t>
            </w:r>
          </w:p>
        </w:tc>
      </w:tr>
      <w:tr w:rsidR="002B3DE0" w14:paraId="6150C7C0" w14:textId="77777777" w:rsidTr="00AC517B">
        <w:tc>
          <w:tcPr>
            <w:tcW w:w="4508" w:type="dxa"/>
          </w:tcPr>
          <w:p w14:paraId="02220A66" w14:textId="3781266F" w:rsidR="002B3DE0" w:rsidRDefault="002B3DE0" w:rsidP="002337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Mode of Delivery:</w:t>
            </w:r>
          </w:p>
        </w:tc>
        <w:tc>
          <w:tcPr>
            <w:tcW w:w="4508" w:type="dxa"/>
          </w:tcPr>
          <w:p w14:paraId="6EF5A891" w14:textId="427AF9A3" w:rsidR="002B3DE0" w:rsidRDefault="002B3DE0" w:rsidP="002337CC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B01DBD">
              <w:rPr>
                <w:lang w:val="en-US"/>
              </w:rPr>
              <w:t>resentation</w:t>
            </w:r>
          </w:p>
        </w:tc>
      </w:tr>
    </w:tbl>
    <w:p w14:paraId="257D9D42" w14:textId="77777777" w:rsidR="002B3DE0" w:rsidRDefault="002B3DE0" w:rsidP="002337CC">
      <w:pPr>
        <w:spacing w:line="240" w:lineRule="auto"/>
      </w:pPr>
    </w:p>
    <w:p w14:paraId="2826565A" w14:textId="7C19E06C" w:rsidR="002B3DE0" w:rsidRDefault="002B3DE0" w:rsidP="002337CC">
      <w:pPr>
        <w:spacing w:line="240" w:lineRule="auto"/>
      </w:pPr>
    </w:p>
    <w:p w14:paraId="7B47E1F2" w14:textId="08C41DB6" w:rsidR="00AB1FF8" w:rsidRDefault="00607FB7" w:rsidP="00B01DBD">
      <w:pPr>
        <w:spacing w:line="360" w:lineRule="auto"/>
        <w:rPr>
          <w:b/>
          <w:bCs/>
        </w:rPr>
      </w:pPr>
      <w:r>
        <w:rPr>
          <w:b/>
          <w:bCs/>
        </w:rPr>
        <w:t xml:space="preserve">Promoting </w:t>
      </w:r>
      <w:r w:rsidR="00A0295C">
        <w:rPr>
          <w:b/>
          <w:bCs/>
        </w:rPr>
        <w:t>b</w:t>
      </w:r>
      <w:r>
        <w:rPr>
          <w:b/>
          <w:bCs/>
        </w:rPr>
        <w:t xml:space="preserve">irth as </w:t>
      </w:r>
      <w:r w:rsidR="00A0295C">
        <w:rPr>
          <w:b/>
          <w:bCs/>
        </w:rPr>
        <w:t>n</w:t>
      </w:r>
      <w:r>
        <w:rPr>
          <w:b/>
          <w:bCs/>
        </w:rPr>
        <w:t>ormal – Reducing the rate of birth intervention</w:t>
      </w:r>
      <w:r w:rsidR="00815513">
        <w:rPr>
          <w:b/>
          <w:bCs/>
        </w:rPr>
        <w:t xml:space="preserve"> and caesarean section</w:t>
      </w:r>
    </w:p>
    <w:p w14:paraId="40B7A4E7" w14:textId="61885D16" w:rsidR="007B1EB1" w:rsidRDefault="008012CB" w:rsidP="00B01DBD">
      <w:pPr>
        <w:spacing w:line="360" w:lineRule="auto"/>
      </w:pPr>
      <w:r>
        <w:t>T</w:t>
      </w:r>
      <w:r w:rsidR="004269ED">
        <w:t xml:space="preserve">he </w:t>
      </w:r>
      <w:r w:rsidR="008C3669">
        <w:t>ever-rising</w:t>
      </w:r>
      <w:r w:rsidR="004269ED">
        <w:t xml:space="preserve"> rate of</w:t>
      </w:r>
      <w:r w:rsidR="005E1975">
        <w:t xml:space="preserve"> pregnancy,</w:t>
      </w:r>
      <w:r w:rsidR="004269ED">
        <w:t xml:space="preserve"> </w:t>
      </w:r>
      <w:r w:rsidR="005E1975">
        <w:t xml:space="preserve">labour and birth </w:t>
      </w:r>
      <w:r w:rsidR="004269ED">
        <w:t>intervention</w:t>
      </w:r>
      <w:r w:rsidR="00041B36">
        <w:t>s</w:t>
      </w:r>
      <w:r w:rsidR="005444AD">
        <w:t>,</w:t>
      </w:r>
      <w:r w:rsidR="004269ED">
        <w:t xml:space="preserve"> due to our risk adverse </w:t>
      </w:r>
      <w:r w:rsidR="00BC7BD9">
        <w:t>soci</w:t>
      </w:r>
      <w:r w:rsidR="00380225">
        <w:t>e</w:t>
      </w:r>
      <w:r w:rsidR="00BC7BD9">
        <w:t>ty</w:t>
      </w:r>
      <w:r w:rsidR="008C3669">
        <w:t>,</w:t>
      </w:r>
      <w:r w:rsidR="00000DFA">
        <w:t xml:space="preserve"> has</w:t>
      </w:r>
      <w:r w:rsidR="005E1975">
        <w:t xml:space="preserve"> result</w:t>
      </w:r>
      <w:r w:rsidR="00557283">
        <w:t xml:space="preserve">ed </w:t>
      </w:r>
      <w:r w:rsidR="005E1975">
        <w:t>in higher instances of</w:t>
      </w:r>
      <w:r w:rsidR="00BF328D">
        <w:t xml:space="preserve"> induction of labour,</w:t>
      </w:r>
      <w:r w:rsidR="001B11B2">
        <w:t xml:space="preserve"> instrumental birth,</w:t>
      </w:r>
      <w:r w:rsidR="005E1975">
        <w:t xml:space="preserve"> caesarean section and</w:t>
      </w:r>
      <w:r w:rsidR="00BF328D">
        <w:t xml:space="preserve"> ultimately</w:t>
      </w:r>
      <w:r w:rsidR="00F7589E">
        <w:t>,</w:t>
      </w:r>
      <w:r w:rsidR="00BF328D">
        <w:t xml:space="preserve"> more importantly,</w:t>
      </w:r>
      <w:r w:rsidR="005E1975">
        <w:t xml:space="preserve"> maternal dissatisfaction</w:t>
      </w:r>
      <w:r w:rsidR="004269ED">
        <w:t xml:space="preserve">. </w:t>
      </w:r>
      <w:r w:rsidR="005E1975">
        <w:t xml:space="preserve"> </w:t>
      </w:r>
    </w:p>
    <w:p w14:paraId="73CDE7AB" w14:textId="3504D872" w:rsidR="002B3DE0" w:rsidRPr="002B3DE0" w:rsidRDefault="00272C00" w:rsidP="00B01DBD">
      <w:pPr>
        <w:spacing w:line="360" w:lineRule="auto"/>
      </w:pPr>
      <w:r>
        <w:t>The evidence clear</w:t>
      </w:r>
      <w:r w:rsidR="008C3669">
        <w:t>ly</w:t>
      </w:r>
      <w:r>
        <w:t xml:space="preserve"> s</w:t>
      </w:r>
      <w:r w:rsidR="00380225">
        <w:t>hows</w:t>
      </w:r>
      <w:r w:rsidR="00215F0D">
        <w:t xml:space="preserve"> the level</w:t>
      </w:r>
      <w:r w:rsidR="00FD5E7A">
        <w:t>s</w:t>
      </w:r>
      <w:r w:rsidR="00215F0D">
        <w:t xml:space="preserve"> of</w:t>
      </w:r>
      <w:r w:rsidR="004269ED">
        <w:t xml:space="preserve"> fear and anxiety in childbearing women</w:t>
      </w:r>
      <w:r w:rsidR="00E927A0">
        <w:t>, regardless of parity,</w:t>
      </w:r>
      <w:r w:rsidR="00215F0D">
        <w:t xml:space="preserve"> are </w:t>
      </w:r>
      <w:r w:rsidR="008E1A22">
        <w:t>rising,</w:t>
      </w:r>
      <w:r w:rsidR="00215F0D">
        <w:t xml:space="preserve"> </w:t>
      </w:r>
      <w:r w:rsidR="00E927A0">
        <w:t xml:space="preserve">leading to </w:t>
      </w:r>
      <w:r w:rsidR="00CE7DFB">
        <w:t xml:space="preserve">more </w:t>
      </w:r>
      <w:r w:rsidR="00215F0D">
        <w:t>women choosing to have</w:t>
      </w:r>
      <w:r w:rsidR="00CE7DFB">
        <w:t xml:space="preserve"> birth</w:t>
      </w:r>
      <w:r w:rsidR="00215F0D">
        <w:t xml:space="preserve"> </w:t>
      </w:r>
      <w:r w:rsidR="00FD5E7A">
        <w:t>intervention</w:t>
      </w:r>
      <w:r w:rsidR="00215F0D">
        <w:t xml:space="preserve"> </w:t>
      </w:r>
      <w:r w:rsidR="00FD5E7A">
        <w:t>including</w:t>
      </w:r>
      <w:r w:rsidR="00215F0D">
        <w:t xml:space="preserve"> elective cae</w:t>
      </w:r>
      <w:r w:rsidR="00FD5E7A">
        <w:t>sarean</w:t>
      </w:r>
      <w:r w:rsidR="00215F0D">
        <w:t xml:space="preserve"> section</w:t>
      </w:r>
      <w:r w:rsidR="005E1975">
        <w:t xml:space="preserve">. </w:t>
      </w:r>
      <w:r w:rsidR="000608B2">
        <w:t xml:space="preserve">Not only is intervention costing us more, </w:t>
      </w:r>
      <w:r w:rsidR="00AC3A0C">
        <w:t xml:space="preserve">the </w:t>
      </w:r>
      <w:r w:rsidR="007B1EB1">
        <w:t xml:space="preserve">literature </w:t>
      </w:r>
      <w:r w:rsidR="009B4849">
        <w:t xml:space="preserve">also </w:t>
      </w:r>
      <w:r w:rsidR="007B1EB1">
        <w:t>states</w:t>
      </w:r>
      <w:r w:rsidR="000608B2">
        <w:t xml:space="preserve"> </w:t>
      </w:r>
      <w:r w:rsidR="00B44748">
        <w:t xml:space="preserve">women are having negative birth </w:t>
      </w:r>
      <w:r w:rsidR="008E1A22">
        <w:t>experiences</w:t>
      </w:r>
      <w:r w:rsidR="00B44748">
        <w:t xml:space="preserve"> impacting on the </w:t>
      </w:r>
      <w:r w:rsidR="008E1A22">
        <w:t>post-partum</w:t>
      </w:r>
      <w:r w:rsidR="00B44748">
        <w:t xml:space="preserve"> period</w:t>
      </w:r>
      <w:r w:rsidR="00C615CE">
        <w:t xml:space="preserve"> and their</w:t>
      </w:r>
      <w:r w:rsidR="00B44748">
        <w:t xml:space="preserve"> </w:t>
      </w:r>
      <w:r w:rsidR="008E1A22">
        <w:t>future reproductive health</w:t>
      </w:r>
      <w:r w:rsidR="002C6629">
        <w:t xml:space="preserve">, </w:t>
      </w:r>
      <w:r w:rsidR="00C615CE">
        <w:t>including</w:t>
      </w:r>
      <w:r w:rsidR="002C6629">
        <w:t xml:space="preserve"> the decision to </w:t>
      </w:r>
      <w:r w:rsidR="00C615CE">
        <w:t>bear more children</w:t>
      </w:r>
      <w:r w:rsidR="008E1A22">
        <w:t xml:space="preserve">. </w:t>
      </w:r>
    </w:p>
    <w:p w14:paraId="7AC8CD35" w14:textId="3C6F80F4" w:rsidR="00856838" w:rsidRDefault="00747E11" w:rsidP="00B01DBD">
      <w:pPr>
        <w:spacing w:line="360" w:lineRule="auto"/>
      </w:pPr>
      <w:r>
        <w:t>In the absence of access to continuity of care for all women,</w:t>
      </w:r>
      <w:r w:rsidR="006A4F1F">
        <w:t xml:space="preserve"> t</w:t>
      </w:r>
      <w:r w:rsidR="000B40EB">
        <w:t xml:space="preserve">his policy </w:t>
      </w:r>
      <w:r w:rsidR="001B11B2">
        <w:t>aims</w:t>
      </w:r>
      <w:r w:rsidR="000B40EB">
        <w:t xml:space="preserve"> to encourage and empower more women </w:t>
      </w:r>
      <w:r w:rsidR="00DC6AEF">
        <w:t>to be</w:t>
      </w:r>
      <w:r w:rsidR="000B40EB">
        <w:t xml:space="preserve"> well informed and supported in the natural processes of pregnancy and birth</w:t>
      </w:r>
      <w:r w:rsidR="00D62592">
        <w:t>,</w:t>
      </w:r>
      <w:r w:rsidR="000F2B02">
        <w:t xml:space="preserve"> by</w:t>
      </w:r>
      <w:r w:rsidR="007C4882">
        <w:t xml:space="preserve"> </w:t>
      </w:r>
      <w:r w:rsidR="00D62592">
        <w:t>enhancing</w:t>
      </w:r>
      <w:r w:rsidR="007C4882">
        <w:t xml:space="preserve"> </w:t>
      </w:r>
      <w:r w:rsidR="00C75F93">
        <w:t xml:space="preserve">the current </w:t>
      </w:r>
      <w:r w:rsidR="00F57C20">
        <w:t xml:space="preserve">standard model of </w:t>
      </w:r>
      <w:r w:rsidR="007C4882">
        <w:t>anten</w:t>
      </w:r>
      <w:r w:rsidR="001C128E">
        <w:t>at</w:t>
      </w:r>
      <w:r w:rsidR="007C4882">
        <w:t xml:space="preserve">al </w:t>
      </w:r>
      <w:r w:rsidR="00B47CE2">
        <w:t xml:space="preserve">and intrapartum </w:t>
      </w:r>
      <w:r w:rsidR="007C4882">
        <w:t>care</w:t>
      </w:r>
      <w:r w:rsidR="000421BD">
        <w:t xml:space="preserve">. </w:t>
      </w:r>
    </w:p>
    <w:p w14:paraId="2053860D" w14:textId="19B8BB1B" w:rsidR="008512CD" w:rsidRDefault="00C75F93" w:rsidP="0055281A">
      <w:pPr>
        <w:spacing w:line="360" w:lineRule="auto"/>
        <w:rPr>
          <w:rFonts w:cstheme="minorHAnsi"/>
        </w:rPr>
      </w:pPr>
      <w:r>
        <w:t xml:space="preserve">This policy proposes </w:t>
      </w:r>
      <w:r w:rsidR="00D11437">
        <w:t xml:space="preserve">to </w:t>
      </w:r>
      <w:r w:rsidR="008F0736">
        <w:t>address the individual needs of women</w:t>
      </w:r>
      <w:r w:rsidR="00865EFB">
        <w:t xml:space="preserve"> by offering</w:t>
      </w:r>
      <w:r w:rsidR="00D62592">
        <w:t xml:space="preserve"> group classes</w:t>
      </w:r>
      <w:r w:rsidR="00515B43">
        <w:t xml:space="preserve"> and</w:t>
      </w:r>
      <w:r w:rsidR="00D62592">
        <w:t xml:space="preserve"> acknowledging</w:t>
      </w:r>
      <w:r w:rsidR="00583DC3">
        <w:t xml:space="preserve"> </w:t>
      </w:r>
      <w:r w:rsidR="004929FB">
        <w:t>and</w:t>
      </w:r>
      <w:r w:rsidR="00F806B7">
        <w:t xml:space="preserve"> </w:t>
      </w:r>
      <w:r w:rsidR="004929FB">
        <w:t>provid</w:t>
      </w:r>
      <w:r w:rsidR="00F806B7">
        <w:t>ing</w:t>
      </w:r>
      <w:r w:rsidR="004929FB">
        <w:t xml:space="preserve"> </w:t>
      </w:r>
      <w:r w:rsidR="00D62592">
        <w:t>open conversation</w:t>
      </w:r>
      <w:r w:rsidR="004929FB">
        <w:t xml:space="preserve"> on </w:t>
      </w:r>
      <w:r w:rsidR="00583DC3">
        <w:t>fear of childbirth</w:t>
      </w:r>
      <w:r w:rsidR="006C6284">
        <w:t xml:space="preserve"> or </w:t>
      </w:r>
      <w:r w:rsidR="00AF34D5">
        <w:t xml:space="preserve">fear of </w:t>
      </w:r>
      <w:r w:rsidR="006C6284">
        <w:t>next birth</w:t>
      </w:r>
      <w:r w:rsidR="00033F06">
        <w:t xml:space="preserve">. </w:t>
      </w:r>
      <w:r w:rsidR="00B75128">
        <w:t>In these sessions, ways to manage</w:t>
      </w:r>
      <w:r w:rsidR="00856838">
        <w:t xml:space="preserve"> pain and</w:t>
      </w:r>
      <w:r w:rsidR="00B75128">
        <w:t xml:space="preserve"> the first stage of labour</w:t>
      </w:r>
      <w:r w:rsidR="0007703C">
        <w:t xml:space="preserve"> can be discussed and </w:t>
      </w:r>
      <w:r w:rsidR="00C355AA">
        <w:t>individual pathways of care</w:t>
      </w:r>
      <w:r w:rsidR="0007703C">
        <w:t xml:space="preserve"> can be est</w:t>
      </w:r>
      <w:r w:rsidR="00856838">
        <w:t>ablished</w:t>
      </w:r>
      <w:r w:rsidR="00C355AA">
        <w:t xml:space="preserve"> to achieve</w:t>
      </w:r>
      <w:r w:rsidR="00F57C20">
        <w:t xml:space="preserve"> </w:t>
      </w:r>
      <w:r w:rsidR="006E1D49">
        <w:t xml:space="preserve">optimal birth outcomes and </w:t>
      </w:r>
      <w:r w:rsidR="00F57C20">
        <w:t>maternal satisfaction</w:t>
      </w:r>
      <w:r w:rsidR="006C6284">
        <w:t xml:space="preserve">. </w:t>
      </w:r>
      <w:r w:rsidR="00AA4325">
        <w:t>Evidence suggests additional antenatal education</w:t>
      </w:r>
      <w:r w:rsidR="004D004C">
        <w:t>,</w:t>
      </w:r>
      <w:r w:rsidR="00FB3457">
        <w:t xml:space="preserve"> </w:t>
      </w:r>
      <w:r w:rsidR="000226AD">
        <w:t xml:space="preserve">a </w:t>
      </w:r>
      <w:r w:rsidR="00FB3457">
        <w:t>belief in normal birth</w:t>
      </w:r>
      <w:r w:rsidR="00B61D88">
        <w:t xml:space="preserve"> and the acceptance</w:t>
      </w:r>
      <w:r w:rsidR="000226AD">
        <w:t xml:space="preserve"> </w:t>
      </w:r>
      <w:r w:rsidR="00B61D88">
        <w:t xml:space="preserve">of key issues </w:t>
      </w:r>
      <w:r w:rsidR="004D004C">
        <w:t>contributing</w:t>
      </w:r>
      <w:r w:rsidR="00B61D88">
        <w:t xml:space="preserve"> to the </w:t>
      </w:r>
      <w:r w:rsidR="009F3B8C">
        <w:t xml:space="preserve">increasing </w:t>
      </w:r>
      <w:r w:rsidR="00B61D88">
        <w:t>rate of caesarean sections,</w:t>
      </w:r>
      <w:r w:rsidR="00EA3B03">
        <w:t xml:space="preserve"> can</w:t>
      </w:r>
      <w:r w:rsidR="0061136A">
        <w:t xml:space="preserve"> help</w:t>
      </w:r>
      <w:r w:rsidR="00EA3B03">
        <w:t xml:space="preserve"> lowe</w:t>
      </w:r>
      <w:r w:rsidR="0043601C">
        <w:t>r</w:t>
      </w:r>
      <w:r w:rsidR="00EA3B03">
        <w:t xml:space="preserve"> the rate</w:t>
      </w:r>
      <w:r w:rsidR="00891E08">
        <w:t>,</w:t>
      </w:r>
      <w:r w:rsidR="00EA3B03">
        <w:t xml:space="preserve"> </w:t>
      </w:r>
      <w:r w:rsidR="000226AD">
        <w:t>t</w:t>
      </w:r>
      <w:r w:rsidR="006204CB">
        <w:t xml:space="preserve">hereby </w:t>
      </w:r>
      <w:r w:rsidR="00D460C9">
        <w:t xml:space="preserve">resulting in better birth outcomes and </w:t>
      </w:r>
      <w:r w:rsidR="00AF000F">
        <w:t>improv</w:t>
      </w:r>
      <w:r w:rsidR="00891E08">
        <w:t>ing</w:t>
      </w:r>
      <w:r w:rsidR="00AF000F">
        <w:t xml:space="preserve"> the experiences of women</w:t>
      </w:r>
      <w:r w:rsidR="00037AE7">
        <w:t xml:space="preserve">. </w:t>
      </w:r>
    </w:p>
    <w:sdt>
      <w:sdtPr>
        <w:rPr>
          <w:rFonts w:cstheme="minorHAnsi"/>
        </w:rPr>
        <w:id w:val="-823744198"/>
        <w:bibliography/>
      </w:sdtPr>
      <w:sdtEndPr/>
      <w:sdtContent>
        <w:p w14:paraId="58D3E427" w14:textId="32F37918" w:rsidR="002A37C3" w:rsidRDefault="002A37C3" w:rsidP="008512CD">
          <w:pPr>
            <w:rPr>
              <w:rFonts w:cstheme="minorHAnsi"/>
            </w:rPr>
          </w:pPr>
        </w:p>
        <w:p w14:paraId="417963F6" w14:textId="5102D132" w:rsidR="006C4F7F" w:rsidRDefault="006C4F7F" w:rsidP="008512CD">
          <w:pPr>
            <w:rPr>
              <w:rFonts w:cstheme="minorHAnsi"/>
            </w:rPr>
          </w:pPr>
        </w:p>
        <w:p w14:paraId="742038DD" w14:textId="263F9BC6" w:rsidR="006C4F7F" w:rsidRDefault="006C4F7F" w:rsidP="008512CD">
          <w:pPr>
            <w:rPr>
              <w:rFonts w:cstheme="minorHAnsi"/>
            </w:rPr>
          </w:pPr>
        </w:p>
        <w:p w14:paraId="7147C1BC" w14:textId="75935A75" w:rsidR="006C4F7F" w:rsidRDefault="006C4F7F" w:rsidP="008512CD">
          <w:pPr>
            <w:rPr>
              <w:lang w:val="en-US"/>
            </w:rPr>
          </w:pPr>
        </w:p>
        <w:p w14:paraId="31023F94" w14:textId="77777777" w:rsidR="0055281A" w:rsidRPr="008512CD" w:rsidRDefault="0055281A" w:rsidP="008512CD">
          <w:pPr>
            <w:rPr>
              <w:lang w:val="en-US"/>
            </w:rPr>
          </w:pPr>
        </w:p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AU"/>
            </w:rPr>
            <w:id w:val="130677384"/>
            <w:docPartObj>
              <w:docPartGallery w:val="Bibliographies"/>
              <w:docPartUnique/>
            </w:docPartObj>
          </w:sdtPr>
          <w:sdtEndPr/>
          <w:sdtContent>
            <w:p w14:paraId="74639603" w14:textId="3F031D99" w:rsidR="002A37C3" w:rsidRDefault="002A37C3">
              <w:pPr>
                <w:pStyle w:val="Heading1"/>
              </w:pPr>
              <w:r>
                <w:t>References</w:t>
              </w:r>
            </w:p>
            <w:sdt>
              <w:sdtPr>
                <w:id w:val="-573587230"/>
                <w:bibliography/>
              </w:sdtPr>
              <w:sdtEndPr/>
              <w:sdtContent>
                <w:p w14:paraId="04833B04" w14:textId="77777777" w:rsidR="004E7F9B" w:rsidRDefault="002A37C3" w:rsidP="0055281A">
                  <w:pPr>
                    <w:pStyle w:val="Bibliography"/>
                    <w:spacing w:line="240" w:lineRule="auto"/>
                    <w:ind w:left="720" w:hanging="720"/>
                    <w:rPr>
                      <w:noProof/>
                      <w:sz w:val="24"/>
                      <w:szCs w:val="24"/>
                      <w:lang w:val="en-US"/>
                    </w:rPr>
                  </w:pPr>
                  <w:r>
                    <w:fldChar w:fldCharType="begin"/>
                  </w:r>
                  <w:r>
                    <w:instrText xml:space="preserve"> BIBLIOGRAPHY </w:instrText>
                  </w:r>
                  <w:r>
                    <w:fldChar w:fldCharType="separate"/>
                  </w:r>
                  <w:r w:rsidR="004E7F9B">
                    <w:rPr>
                      <w:noProof/>
                      <w:lang w:val="en-US"/>
                    </w:rPr>
                    <w:t xml:space="preserve">Dahlen, H. G. (2016). The politicisation of risk. </w:t>
                  </w:r>
                  <w:r w:rsidR="004E7F9B">
                    <w:rPr>
                      <w:i/>
                      <w:iCs/>
                      <w:noProof/>
                      <w:lang w:val="en-US"/>
                    </w:rPr>
                    <w:t>Midwifery, 3</w:t>
                  </w:r>
                  <w:r w:rsidR="004E7F9B">
                    <w:rPr>
                      <w:noProof/>
                      <w:lang w:val="en-US"/>
                    </w:rPr>
                    <w:t>(8), 6-8. Retrieved from https://dx.doi.org/10.1016/j.midw.2016.05.011</w:t>
                  </w:r>
                </w:p>
                <w:p w14:paraId="397BBFAD" w14:textId="77777777" w:rsidR="004E7F9B" w:rsidRDefault="004E7F9B" w:rsidP="0055281A">
                  <w:pPr>
                    <w:pStyle w:val="Bibliography"/>
                    <w:spacing w:line="240" w:lineRule="auto"/>
                    <w:ind w:left="720" w:hanging="720"/>
                    <w:rPr>
                      <w:noProof/>
                      <w:lang w:val="en-US"/>
                    </w:rPr>
                  </w:pPr>
                  <w:r>
                    <w:rPr>
                      <w:i/>
                      <w:iCs/>
                      <w:noProof/>
                      <w:lang w:val="en-US"/>
                    </w:rPr>
                    <w:t>Definition of normal birth.</w:t>
                  </w:r>
                  <w:r>
                    <w:rPr>
                      <w:noProof/>
                      <w:lang w:val="en-US"/>
                    </w:rPr>
                    <w:t xml:space="preserve"> (1997). Retrieved from WHO: https://www.who.int/health-topics/maternal-health</w:t>
                  </w:r>
                </w:p>
                <w:p w14:paraId="5B7524AA" w14:textId="77777777" w:rsidR="004E7F9B" w:rsidRDefault="004E7F9B" w:rsidP="0055281A">
                  <w:pPr>
                    <w:pStyle w:val="Bibliography"/>
                    <w:spacing w:line="240" w:lineRule="auto"/>
                    <w:ind w:left="720" w:hanging="720"/>
                    <w:rPr>
                      <w:noProof/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t xml:space="preserve">Duff, E. (2002). Normal birth: 'commonplace', 'according to rule' or 'well adjusted'? </w:t>
                  </w:r>
                  <w:r>
                    <w:rPr>
                      <w:i/>
                      <w:iCs/>
                      <w:noProof/>
                      <w:lang w:val="en-US"/>
                    </w:rPr>
                    <w:t>Midwifery Digest, 12</w:t>
                  </w:r>
                  <w:r>
                    <w:rPr>
                      <w:noProof/>
                      <w:lang w:val="en-US"/>
                    </w:rPr>
                    <w:t>(3), 313-314.</w:t>
                  </w:r>
                </w:p>
                <w:p w14:paraId="380C7F46" w14:textId="77777777" w:rsidR="004E7F9B" w:rsidRDefault="004E7F9B" w:rsidP="0055281A">
                  <w:pPr>
                    <w:pStyle w:val="Bibliography"/>
                    <w:spacing w:line="240" w:lineRule="auto"/>
                    <w:ind w:left="720" w:hanging="720"/>
                    <w:rPr>
                      <w:noProof/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t xml:space="preserve">Healy, S., Humphreys, E., &amp; Kennedy, C. (2017). A qualatative exploration of how midwives and obstericians perceptions of risk affects care practices for low risk women and normal birth. </w:t>
                  </w:r>
                  <w:r>
                    <w:rPr>
                      <w:i/>
                      <w:iCs/>
                      <w:noProof/>
                      <w:lang w:val="en-US"/>
                    </w:rPr>
                    <w:t>Women and birth</w:t>
                  </w:r>
                  <w:r>
                    <w:rPr>
                      <w:noProof/>
                      <w:lang w:val="en-US"/>
                    </w:rPr>
                    <w:t>, 367-375. Retrieved April 22, 2021, from https://dx.doi.org/10.1016/j.wombi.2017.02.005</w:t>
                  </w:r>
                </w:p>
                <w:p w14:paraId="527B8163" w14:textId="77777777" w:rsidR="004E7F9B" w:rsidRDefault="004E7F9B" w:rsidP="0055281A">
                  <w:pPr>
                    <w:pStyle w:val="Bibliography"/>
                    <w:spacing w:line="240" w:lineRule="auto"/>
                    <w:ind w:left="720" w:hanging="720"/>
                    <w:rPr>
                      <w:noProof/>
                      <w:lang w:val="en-US"/>
                    </w:rPr>
                  </w:pPr>
                  <w:r>
                    <w:rPr>
                      <w:i/>
                      <w:iCs/>
                      <w:noProof/>
                      <w:lang w:val="en-US"/>
                    </w:rPr>
                    <w:t>Maternity: Towards Normal Birth in NSW.</w:t>
                  </w:r>
                  <w:r>
                    <w:rPr>
                      <w:noProof/>
                      <w:lang w:val="en-US"/>
                    </w:rPr>
                    <w:t xml:space="preserve"> (2010, June 29). Retrieved from NSW Health- Policy Directive: https://www1.health.nsw.gov.au/pds/ActivePDSDocuments/PD2010_045.pdf</w:t>
                  </w:r>
                </w:p>
                <w:p w14:paraId="671F8E73" w14:textId="77777777" w:rsidR="004E7F9B" w:rsidRDefault="004E7F9B" w:rsidP="0055281A">
                  <w:pPr>
                    <w:pStyle w:val="Bibliography"/>
                    <w:spacing w:line="240" w:lineRule="auto"/>
                    <w:ind w:left="720" w:hanging="720"/>
                    <w:rPr>
                      <w:noProof/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t xml:space="preserve">Mayberry, L. J., Avery, M. D., Budin, W., &amp; Perry, S. (2017). Improving maternal and neonatal outcomes by promoting normal physiological birth on hospital birthing units. </w:t>
                  </w:r>
                  <w:r>
                    <w:rPr>
                      <w:i/>
                      <w:iCs/>
                      <w:noProof/>
                      <w:lang w:val="en-US"/>
                    </w:rPr>
                    <w:t>Nursing Outlook</w:t>
                  </w:r>
                  <w:r>
                    <w:rPr>
                      <w:noProof/>
                      <w:lang w:val="en-US"/>
                    </w:rPr>
                    <w:t>(65), 240-241. Retrieved April 22, 2021, from https://www.nursingoutlook.org/action/showPdf?pii=S0029-6554%2817%2930101-X</w:t>
                  </w:r>
                </w:p>
                <w:p w14:paraId="40A8C9AA" w14:textId="77777777" w:rsidR="004E7F9B" w:rsidRDefault="004E7F9B" w:rsidP="0055281A">
                  <w:pPr>
                    <w:pStyle w:val="Bibliography"/>
                    <w:spacing w:line="240" w:lineRule="auto"/>
                    <w:ind w:left="720" w:hanging="720"/>
                    <w:rPr>
                      <w:noProof/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t xml:space="preserve">Panda, S., Begley, C., Daly, D., Karlstrom, A., Larson, B., Back, L., &amp; Hidingsson, I. (2018, September 7). Factors influencing decision-making for caesarean section in Sweden - a qualatative study. </w:t>
                  </w:r>
                  <w:r>
                    <w:rPr>
                      <w:i/>
                      <w:iCs/>
                      <w:noProof/>
                      <w:lang w:val="en-US"/>
                    </w:rPr>
                    <w:t>Pregnancy and Childbirth</w:t>
                  </w:r>
                  <w:r>
                    <w:rPr>
                      <w:noProof/>
                      <w:lang w:val="en-US"/>
                    </w:rPr>
                    <w:t>(18), 1-8. Retrieved from https://doi.org/10.1186/s12884-018-2007-7</w:t>
                  </w:r>
                </w:p>
                <w:p w14:paraId="264D4A36" w14:textId="77777777" w:rsidR="004E7F9B" w:rsidRDefault="004E7F9B" w:rsidP="0055281A">
                  <w:pPr>
                    <w:pStyle w:val="Bibliography"/>
                    <w:spacing w:line="240" w:lineRule="auto"/>
                    <w:ind w:left="720" w:hanging="720"/>
                    <w:rPr>
                      <w:noProof/>
                      <w:lang w:val="en-US"/>
                    </w:rPr>
                  </w:pPr>
                  <w:r>
                    <w:rPr>
                      <w:i/>
                      <w:iCs/>
                      <w:noProof/>
                      <w:lang w:val="en-US"/>
                    </w:rPr>
                    <w:t>Policy: Clinical Guideline. Normal Pregnancy, Labour and Puerperium Management.</w:t>
                  </w:r>
                  <w:r>
                    <w:rPr>
                      <w:noProof/>
                      <w:lang w:val="en-US"/>
                    </w:rPr>
                    <w:t xml:space="preserve"> (2015, September 7). Retrieved from Department of Health: Government of South Australia: https://www.sahealth.sa.gov.au/wps/wcm/connect/26cf8d004ee52a4fa536add150ce4f37/Normal+Pregnancy%2C+Labour+and+Puerperium_Sept2015.pdf?MOD=AJPERES</w:t>
                  </w:r>
                </w:p>
                <w:p w14:paraId="7E24D015" w14:textId="77777777" w:rsidR="004E7F9B" w:rsidRDefault="004E7F9B" w:rsidP="0055281A">
                  <w:pPr>
                    <w:pStyle w:val="Bibliography"/>
                    <w:spacing w:line="240" w:lineRule="auto"/>
                    <w:ind w:left="720" w:hanging="720"/>
                    <w:rPr>
                      <w:noProof/>
                      <w:lang w:val="en-US"/>
                    </w:rPr>
                  </w:pPr>
                  <w:r>
                    <w:rPr>
                      <w:i/>
                      <w:iCs/>
                      <w:noProof/>
                      <w:lang w:val="en-US"/>
                    </w:rPr>
                    <w:t>Position Statement: Keeping birth normal.</w:t>
                  </w:r>
                  <w:r>
                    <w:rPr>
                      <w:noProof/>
                      <w:lang w:val="en-US"/>
                    </w:rPr>
                    <w:t xml:space="preserve"> (2014). Retrieved from International Confederation of Midwives: https://www.internationalmidwives.org/assets/files/statement-files/2018/04/keeping-birth-normal-eng.pdf</w:t>
                  </w:r>
                </w:p>
                <w:p w14:paraId="654FA6FE" w14:textId="77777777" w:rsidR="004E7F9B" w:rsidRDefault="004E7F9B" w:rsidP="0055281A">
                  <w:pPr>
                    <w:pStyle w:val="Bibliography"/>
                    <w:spacing w:line="240" w:lineRule="auto"/>
                    <w:ind w:left="720" w:hanging="720"/>
                    <w:rPr>
                      <w:noProof/>
                      <w:lang w:val="en-US"/>
                    </w:rPr>
                  </w:pPr>
                  <w:r>
                    <w:rPr>
                      <w:i/>
                      <w:iCs/>
                      <w:noProof/>
                      <w:lang w:val="en-US"/>
                    </w:rPr>
                    <w:t>Pregnancy and Birth.</w:t>
                  </w:r>
                  <w:r>
                    <w:rPr>
                      <w:noProof/>
                      <w:lang w:val="en-US"/>
                    </w:rPr>
                    <w:t xml:space="preserve"> (n.d.). Retrieved from The Women's. The Royal Women's Hospital Victoria: https://www.thewomens.org.au/health-information/pregnancy-and-birth/</w:t>
                  </w:r>
                </w:p>
                <w:p w14:paraId="3BC657BC" w14:textId="77777777" w:rsidR="004E7F9B" w:rsidRDefault="004E7F9B" w:rsidP="0055281A">
                  <w:pPr>
                    <w:pStyle w:val="Bibliography"/>
                    <w:spacing w:line="240" w:lineRule="auto"/>
                    <w:ind w:left="720" w:hanging="720"/>
                    <w:rPr>
                      <w:noProof/>
                      <w:lang w:val="en-US"/>
                    </w:rPr>
                  </w:pPr>
                  <w:r>
                    <w:rPr>
                      <w:i/>
                      <w:iCs/>
                      <w:noProof/>
                      <w:lang w:val="en-US"/>
                    </w:rPr>
                    <w:t>Queensland Clinical Guidelines: Normal Birth.</w:t>
                  </w:r>
                  <w:r>
                    <w:rPr>
                      <w:noProof/>
                      <w:lang w:val="en-US"/>
                    </w:rPr>
                    <w:t xml:space="preserve"> (2017, November). Retrieved from Queensland Health: https://www.health.qld.gov.au/__data/assets/pdf_file/0014/142007/g-normalbirth.pdf</w:t>
                  </w:r>
                </w:p>
                <w:p w14:paraId="43208BA2" w14:textId="77777777" w:rsidR="004E7F9B" w:rsidRDefault="004E7F9B" w:rsidP="0055281A">
                  <w:pPr>
                    <w:pStyle w:val="Bibliography"/>
                    <w:spacing w:line="240" w:lineRule="auto"/>
                    <w:ind w:left="720" w:hanging="720"/>
                    <w:rPr>
                      <w:noProof/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t xml:space="preserve">Skinner, J., &amp; Dahlen, H. (2015). Risk, fear and safety. In S. Pairman, J. Pincombe, C. Thorogood, &amp; S. Tracy, </w:t>
                  </w:r>
                  <w:r>
                    <w:rPr>
                      <w:i/>
                      <w:iCs/>
                      <w:noProof/>
                      <w:lang w:val="en-US"/>
                    </w:rPr>
                    <w:t>Midwifery Preperation for Practice</w:t>
                  </w:r>
                  <w:r>
                    <w:rPr>
                      <w:noProof/>
                      <w:lang w:val="en-US"/>
                    </w:rPr>
                    <w:t xml:space="preserve"> (3rd ed., pp. 87-102). Elsevier.</w:t>
                  </w:r>
                </w:p>
                <w:p w14:paraId="52999281" w14:textId="77777777" w:rsidR="004E7F9B" w:rsidRDefault="004E7F9B" w:rsidP="0055281A">
                  <w:pPr>
                    <w:pStyle w:val="Bibliography"/>
                    <w:spacing w:line="240" w:lineRule="auto"/>
                    <w:ind w:left="720" w:hanging="720"/>
                    <w:rPr>
                      <w:noProof/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t xml:space="preserve">Smith, V., Gallagher, L., Carroll, M., Hannon, K., &amp; Begley, C. (2019, October 24). Antenatal and intrapartum interventions for reducing casarean section, promoting vaginal birth and reducing fear of childbirth: An overview of systemic reviews. </w:t>
                  </w:r>
                  <w:r>
                    <w:rPr>
                      <w:i/>
                      <w:iCs/>
                      <w:noProof/>
                      <w:lang w:val="en-US"/>
                    </w:rPr>
                    <w:t>PLOS ONE</w:t>
                  </w:r>
                  <w:r>
                    <w:rPr>
                      <w:noProof/>
                      <w:lang w:val="en-US"/>
                    </w:rPr>
                    <w:t>, 1-17. Retrieved from https://doi.org/10.1371/journal.pone.0224313</w:t>
                  </w:r>
                </w:p>
                <w:p w14:paraId="689631BB" w14:textId="77777777" w:rsidR="004E7F9B" w:rsidRDefault="004E7F9B" w:rsidP="0055281A">
                  <w:pPr>
                    <w:pStyle w:val="Bibliography"/>
                    <w:spacing w:line="240" w:lineRule="auto"/>
                    <w:ind w:left="720" w:hanging="720"/>
                    <w:rPr>
                      <w:noProof/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t xml:space="preserve">Thorogood, C., &amp; Crowther, S. (2015). Challenges to womens health. In S. Pairman, J. Pincombe, C. Thorogood, &amp; S. Tracy, </w:t>
                  </w:r>
                  <w:r>
                    <w:rPr>
                      <w:i/>
                      <w:iCs/>
                      <w:noProof/>
                      <w:lang w:val="en-US"/>
                    </w:rPr>
                    <w:t>Midwifery Preparation for Practice</w:t>
                  </w:r>
                  <w:r>
                    <w:rPr>
                      <w:noProof/>
                      <w:lang w:val="en-US"/>
                    </w:rPr>
                    <w:t xml:space="preserve"> (3rd ed., pp. 157-206). Elsevier.</w:t>
                  </w:r>
                </w:p>
                <w:p w14:paraId="4015F994" w14:textId="62C329DE" w:rsidR="00A97C6D" w:rsidRPr="008F54BE" w:rsidRDefault="002A37C3" w:rsidP="0055281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b/>
                      <w:bCs/>
                      <w:noProof/>
                    </w:rPr>
                    <w:fldChar w:fldCharType="end"/>
                  </w:r>
                </w:p>
              </w:sdtContent>
            </w:sdt>
          </w:sdtContent>
        </w:sdt>
        <w:p w14:paraId="6E1912F7" w14:textId="21B7A715" w:rsidR="0012679F" w:rsidRDefault="006F796E" w:rsidP="0012679F">
          <w:pPr>
            <w:spacing w:line="360" w:lineRule="auto"/>
          </w:pPr>
        </w:p>
      </w:sdtContent>
    </w:sdt>
    <w:sectPr w:rsidR="00126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E0"/>
    <w:rsid w:val="00000DFA"/>
    <w:rsid w:val="000226AD"/>
    <w:rsid w:val="000230FE"/>
    <w:rsid w:val="00033F06"/>
    <w:rsid w:val="00037AE7"/>
    <w:rsid w:val="00041B36"/>
    <w:rsid w:val="000421BD"/>
    <w:rsid w:val="0005156A"/>
    <w:rsid w:val="00056BF0"/>
    <w:rsid w:val="000608B2"/>
    <w:rsid w:val="00061E01"/>
    <w:rsid w:val="0007703C"/>
    <w:rsid w:val="000A69B7"/>
    <w:rsid w:val="000B40EB"/>
    <w:rsid w:val="000C7313"/>
    <w:rsid w:val="000E2D2D"/>
    <w:rsid w:val="000E4658"/>
    <w:rsid w:val="000F2B02"/>
    <w:rsid w:val="001024C7"/>
    <w:rsid w:val="00104BC2"/>
    <w:rsid w:val="0012679F"/>
    <w:rsid w:val="00161FA8"/>
    <w:rsid w:val="001B11B2"/>
    <w:rsid w:val="001C128E"/>
    <w:rsid w:val="001E6EC8"/>
    <w:rsid w:val="00211889"/>
    <w:rsid w:val="00215F0D"/>
    <w:rsid w:val="002269D5"/>
    <w:rsid w:val="002337CC"/>
    <w:rsid w:val="00234CF0"/>
    <w:rsid w:val="00272C00"/>
    <w:rsid w:val="002A37C3"/>
    <w:rsid w:val="002B3DE0"/>
    <w:rsid w:val="002C6629"/>
    <w:rsid w:val="002D3820"/>
    <w:rsid w:val="002E4122"/>
    <w:rsid w:val="00316396"/>
    <w:rsid w:val="00361FAE"/>
    <w:rsid w:val="00380225"/>
    <w:rsid w:val="00395FD8"/>
    <w:rsid w:val="003B38C8"/>
    <w:rsid w:val="003D1D00"/>
    <w:rsid w:val="003E29A4"/>
    <w:rsid w:val="003F2C80"/>
    <w:rsid w:val="00424B0F"/>
    <w:rsid w:val="004269ED"/>
    <w:rsid w:val="004273DA"/>
    <w:rsid w:val="0043601C"/>
    <w:rsid w:val="00454347"/>
    <w:rsid w:val="00463BAC"/>
    <w:rsid w:val="004929FB"/>
    <w:rsid w:val="004B7C63"/>
    <w:rsid w:val="004C4983"/>
    <w:rsid w:val="004D004C"/>
    <w:rsid w:val="004E7F9B"/>
    <w:rsid w:val="00501145"/>
    <w:rsid w:val="00515B43"/>
    <w:rsid w:val="00541EA7"/>
    <w:rsid w:val="005444AD"/>
    <w:rsid w:val="0055281A"/>
    <w:rsid w:val="00557283"/>
    <w:rsid w:val="00557723"/>
    <w:rsid w:val="0058083E"/>
    <w:rsid w:val="00583DC3"/>
    <w:rsid w:val="005929B5"/>
    <w:rsid w:val="005A53F7"/>
    <w:rsid w:val="005C6277"/>
    <w:rsid w:val="005D1C43"/>
    <w:rsid w:val="005E1975"/>
    <w:rsid w:val="006037EF"/>
    <w:rsid w:val="00607FB7"/>
    <w:rsid w:val="0061136A"/>
    <w:rsid w:val="006204CB"/>
    <w:rsid w:val="006223C7"/>
    <w:rsid w:val="006A0B27"/>
    <w:rsid w:val="006A4F1F"/>
    <w:rsid w:val="006B06A1"/>
    <w:rsid w:val="006C4F7F"/>
    <w:rsid w:val="006C6284"/>
    <w:rsid w:val="006E1D49"/>
    <w:rsid w:val="006F796E"/>
    <w:rsid w:val="0070662A"/>
    <w:rsid w:val="00747E11"/>
    <w:rsid w:val="00753FBE"/>
    <w:rsid w:val="007B1EB1"/>
    <w:rsid w:val="007C4882"/>
    <w:rsid w:val="008012CB"/>
    <w:rsid w:val="00815513"/>
    <w:rsid w:val="008512CD"/>
    <w:rsid w:val="00854E53"/>
    <w:rsid w:val="00856838"/>
    <w:rsid w:val="00865EFB"/>
    <w:rsid w:val="008728C6"/>
    <w:rsid w:val="00891E08"/>
    <w:rsid w:val="008A2A5D"/>
    <w:rsid w:val="008C3669"/>
    <w:rsid w:val="008E1A22"/>
    <w:rsid w:val="008F0736"/>
    <w:rsid w:val="008F54BE"/>
    <w:rsid w:val="009210C4"/>
    <w:rsid w:val="0099351D"/>
    <w:rsid w:val="009B4849"/>
    <w:rsid w:val="009F3B8C"/>
    <w:rsid w:val="00A0295C"/>
    <w:rsid w:val="00A03583"/>
    <w:rsid w:val="00A10659"/>
    <w:rsid w:val="00A211F1"/>
    <w:rsid w:val="00A97C6D"/>
    <w:rsid w:val="00AA4325"/>
    <w:rsid w:val="00AB1FF8"/>
    <w:rsid w:val="00AC3A0C"/>
    <w:rsid w:val="00AF000F"/>
    <w:rsid w:val="00AF34D5"/>
    <w:rsid w:val="00B01DBD"/>
    <w:rsid w:val="00B210A5"/>
    <w:rsid w:val="00B345DF"/>
    <w:rsid w:val="00B44748"/>
    <w:rsid w:val="00B47CE2"/>
    <w:rsid w:val="00B61D88"/>
    <w:rsid w:val="00B75128"/>
    <w:rsid w:val="00BC7BD9"/>
    <w:rsid w:val="00BF0FC9"/>
    <w:rsid w:val="00BF328D"/>
    <w:rsid w:val="00C31759"/>
    <w:rsid w:val="00C355AA"/>
    <w:rsid w:val="00C533D3"/>
    <w:rsid w:val="00C615CE"/>
    <w:rsid w:val="00C75F93"/>
    <w:rsid w:val="00CE1198"/>
    <w:rsid w:val="00CE7DFB"/>
    <w:rsid w:val="00D03411"/>
    <w:rsid w:val="00D11437"/>
    <w:rsid w:val="00D460C9"/>
    <w:rsid w:val="00D62592"/>
    <w:rsid w:val="00D7447C"/>
    <w:rsid w:val="00DB2B2B"/>
    <w:rsid w:val="00DC6AEF"/>
    <w:rsid w:val="00DD6266"/>
    <w:rsid w:val="00DF6A64"/>
    <w:rsid w:val="00E927A0"/>
    <w:rsid w:val="00E93DA4"/>
    <w:rsid w:val="00EA3B03"/>
    <w:rsid w:val="00F27079"/>
    <w:rsid w:val="00F57C20"/>
    <w:rsid w:val="00F60D4A"/>
    <w:rsid w:val="00F7589E"/>
    <w:rsid w:val="00F806B7"/>
    <w:rsid w:val="00F8610C"/>
    <w:rsid w:val="00FA1602"/>
    <w:rsid w:val="00FB3457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BF2F"/>
  <w15:chartTrackingRefBased/>
  <w15:docId w15:val="{5E6D7993-1A73-4D0B-9564-2C2C8192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D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2B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B3DE0"/>
    <w:rPr>
      <w:color w:val="0000FF"/>
      <w:u w:val="single"/>
    </w:rPr>
  </w:style>
  <w:style w:type="table" w:styleId="TableGrid">
    <w:name w:val="Table Grid"/>
    <w:basedOn w:val="TableNormal"/>
    <w:uiPriority w:val="39"/>
    <w:rsid w:val="002B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4B7C63"/>
  </w:style>
  <w:style w:type="character" w:styleId="UnresolvedMention">
    <w:name w:val="Unresolved Mention"/>
    <w:basedOn w:val="DefaultParagraphFont"/>
    <w:uiPriority w:val="99"/>
    <w:semiHidden/>
    <w:unhideWhenUsed/>
    <w:rsid w:val="00B345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4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4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4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4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Smi19</b:Tag>
    <b:SourceType>JournalArticle</b:SourceType>
    <b:Guid>{49A7CBD2-DE3C-4AF1-8597-2F57019EFDA4}</b:Guid>
    <b:Title>Antenatal and intrapartum interventions for reducing casarean section, promoting vaginal birth and reducing fear of childbirth: An overview of systemic reviews</b:Title>
    <b:JournalName>PLOS ONE</b:JournalName>
    <b:Year>2019</b:Year>
    <b:Pages>1-17</b:Pages>
    <b:Author>
      <b:Author>
        <b:NameList>
          <b:Person>
            <b:Last>Smith</b:Last>
            <b:First>V</b:First>
          </b:Person>
          <b:Person>
            <b:Last>Gallagher</b:Last>
            <b:First>L</b:First>
          </b:Person>
          <b:Person>
            <b:Last>Carroll</b:Last>
            <b:First>M</b:First>
          </b:Person>
          <b:Person>
            <b:Last>Hannon</b:Last>
            <b:First>K</b:First>
          </b:Person>
          <b:Person>
            <b:Last>Begley</b:Last>
            <b:First>C</b:First>
          </b:Person>
        </b:NameList>
      </b:Author>
    </b:Author>
    <b:Month>October</b:Month>
    <b:Day>24</b:Day>
    <b:URL>https://doi.org/10.1371/journal.pone.0224313</b:URL>
    <b:RefOrder>2</b:RefOrder>
  </b:Source>
  <b:Source>
    <b:Tag>Pan18</b:Tag>
    <b:SourceType>JournalArticle</b:SourceType>
    <b:Guid>{580E0B8E-AF35-4511-9A96-C5FF2618B7D2}</b:Guid>
    <b:Title>Factors influencing decision-making for caesarean section in Sweden - a qualatative study</b:Title>
    <b:JournalName>Pregnancy and Childbirth</b:JournalName>
    <b:Year>2018</b:Year>
    <b:Pages>1-8</b:Pages>
    <b:Month>September</b:Month>
    <b:Day>7</b:Day>
    <b:Issue>18</b:Issue>
    <b:URL>https://doi.org/10.1186/s12884-018-2007-7</b:URL>
    <b:Author>
      <b:Author>
        <b:NameList>
          <b:Person>
            <b:Last>Panda</b:Last>
            <b:First>S</b:First>
          </b:Person>
          <b:Person>
            <b:Last>Begley</b:Last>
            <b:First>C</b:First>
          </b:Person>
          <b:Person>
            <b:Last>Daly</b:Last>
            <b:First>D</b:First>
          </b:Person>
          <b:Person>
            <b:Last>Karlstrom</b:Last>
            <b:First>A</b:First>
          </b:Person>
          <b:Person>
            <b:Last>Larson</b:Last>
            <b:First>B</b:First>
          </b:Person>
          <b:Person>
            <b:Last>Back</b:Last>
            <b:First>L</b:First>
          </b:Person>
          <b:Person>
            <b:Last>Hidingsson</b:Last>
            <b:First>I</b:First>
          </b:Person>
        </b:NameList>
      </b:Author>
    </b:Author>
    <b:RefOrder>3</b:RefOrder>
  </b:Source>
  <b:Source>
    <b:Tag>Dep15</b:Tag>
    <b:SourceType>DocumentFromInternetSite</b:SourceType>
    <b:Guid>{1815A112-E53F-4966-BB6E-F57BFD2E903C}</b:Guid>
    <b:Title>Policy: Clinical Guideline. Normal Pregnancy, Labour and Puerperium Management</b:Title>
    <b:InternetSiteTitle>Department of Health: Government of South Australia</b:InternetSiteTitle>
    <b:Year>2015</b:Year>
    <b:Month>September</b:Month>
    <b:Day>7</b:Day>
    <b:URL>https://www.sahealth.sa.gov.au/wps/wcm/connect/26cf8d004ee52a4fa536add150ce4f37/Normal+Pregnancy%2C+Labour+and+Puerperium_Sept2015.pdf?MOD=AJPERES</b:URL>
    <b:RefOrder>4</b:RefOrder>
  </b:Source>
  <b:Source>
    <b:Tag>Pos14</b:Tag>
    <b:SourceType>DocumentFromInternetSite</b:SourceType>
    <b:Guid>{271432CA-9DF6-425E-AF9C-9FDA93A102A0}</b:Guid>
    <b:Title>Position Statement: Keeping birth normal</b:Title>
    <b:Year>2014</b:Year>
    <b:InternetSiteTitle>International Confederation of Midwives</b:InternetSiteTitle>
    <b:URL>https://www.internationalmidwives.org/assets/files/statement-files/2018/04/keeping-birth-normal-eng.pdf</b:URL>
    <b:RefOrder>5</b:RefOrder>
  </b:Source>
  <b:Source>
    <b:Tag>Que17</b:Tag>
    <b:SourceType>DocumentFromInternetSite</b:SourceType>
    <b:Guid>{19EFAE6B-7795-48D3-8940-E810C48C8260}</b:Guid>
    <b:Title>Queensland Clinical Guidelines: Normal Birth</b:Title>
    <b:InternetSiteTitle>Queensland Health</b:InternetSiteTitle>
    <b:Year>2017</b:Year>
    <b:Month>November</b:Month>
    <b:URL>https://www.health.qld.gov.au/__data/assets/pdf_file/0014/142007/g-normalbirth.pdf</b:URL>
    <b:RefOrder>6</b:RefOrder>
  </b:Source>
  <b:Source>
    <b:Tag>Pre</b:Tag>
    <b:SourceType>DocumentFromInternetSite</b:SourceType>
    <b:Guid>{3FCDDCAE-5BA3-4833-B001-4CFECEF18BC9}</b:Guid>
    <b:Title>Pregnancy and Birth</b:Title>
    <b:InternetSiteTitle>The Women's. The Royal Women's Hospital Victoria</b:InternetSiteTitle>
    <b:URL>https://www.thewomens.org.au/health-information/pregnancy-and-birth/</b:URL>
    <b:RefOrder>7</b:RefOrder>
  </b:Source>
  <b:Source>
    <b:Tag>Hea17</b:Tag>
    <b:SourceType>JournalArticle</b:SourceType>
    <b:Guid>{F97BC5DB-38C5-4AEE-9FDA-0938C6423BED}</b:Guid>
    <b:Title>A qualatative exploration of how midwives and obstericians perceptions of risk affects care practices for low risk women and normal birth</b:Title>
    <b:JournalName>Women and birth</b:JournalName>
    <b:Year>2017</b:Year>
    <b:Pages>367-375</b:Pages>
    <b:Author>
      <b:Author>
        <b:NameList>
          <b:Person>
            <b:Last>Healy</b:Last>
            <b:First>S</b:First>
          </b:Person>
          <b:Person>
            <b:Last>Humphreys</b:Last>
            <b:First>E</b:First>
          </b:Person>
          <b:Person>
            <b:Last>Kennedy</b:Last>
            <b:First>C</b:First>
          </b:Person>
        </b:NameList>
      </b:Author>
    </b:Author>
    <b:Publisher>Elsevier</b:Publisher>
    <b:YearAccessed>2021</b:YearAccessed>
    <b:MonthAccessed>April</b:MonthAccessed>
    <b:DayAccessed>22</b:DayAccessed>
    <b:URL>https://dx.doi.org/10.1016/j.wombi.2017.02.005</b:URL>
    <b:RefOrder>8</b:RefOrder>
  </b:Source>
  <b:Source>
    <b:Tag>May17</b:Tag>
    <b:SourceType>JournalArticle</b:SourceType>
    <b:Guid>{01D0F43C-0FEC-4F85-94C2-7577BC887C1B}</b:Guid>
    <b:Title>Improving maternal and neonatal outcomes by promoting normal physiological birth on hospital birthing units</b:Title>
    <b:Year>2017</b:Year>
    <b:Publisher>Elsevier</b:Publisher>
    <b:JournalName>Nursing Outlook</b:JournalName>
    <b:Pages>240-241</b:Pages>
    <b:Author>
      <b:Author>
        <b:NameList>
          <b:Person>
            <b:Last>Mayberry</b:Last>
            <b:Middle>J</b:Middle>
            <b:First>L</b:First>
          </b:Person>
          <b:Person>
            <b:Last>Avery</b:Last>
            <b:Middle>D</b:Middle>
            <b:First>M</b:First>
          </b:Person>
          <b:Person>
            <b:Last>Budin</b:Last>
            <b:First>W</b:First>
          </b:Person>
          <b:Person>
            <b:Last>Perry</b:Last>
            <b:First>S</b:First>
          </b:Person>
        </b:NameList>
      </b:Author>
    </b:Author>
    <b:Issue>65</b:Issue>
    <b:YearAccessed>2021</b:YearAccessed>
    <b:MonthAccessed>April</b:MonthAccessed>
    <b:DayAccessed>22</b:DayAccessed>
    <b:URL>https://www.nursingoutlook.org/action/showPdf?pii=S0029-6554%2817%2930101-X</b:URL>
    <b:RefOrder>9</b:RefOrder>
  </b:Source>
  <b:Source>
    <b:Tag>Ski15</b:Tag>
    <b:SourceType>BookSection</b:SourceType>
    <b:Guid>{4B9687F7-160E-427D-9D58-7DC27E6DCF99}</b:Guid>
    <b:Title>Risk, fear and safety</b:Title>
    <b:Year>2015</b:Year>
    <b:BookTitle>Midwifery Preperation for Practice</b:BookTitle>
    <b:Pages>87-102</b:Pages>
    <b:Publisher>Elsevier</b:Publisher>
    <b:Author>
      <b:Author>
        <b:NameList>
          <b:Person>
            <b:Last>Skinner</b:Last>
            <b:First>J</b:First>
          </b:Person>
          <b:Person>
            <b:Last>Dahlen</b:Last>
            <b:First>H</b:First>
          </b:Person>
        </b:NameList>
      </b:Author>
      <b:BookAuthor>
        <b:NameList>
          <b:Person>
            <b:Last>Pairman</b:Last>
            <b:First>S</b:First>
          </b:Person>
          <b:Person>
            <b:Last>Pincombe</b:Last>
            <b:First>J</b:First>
          </b:Person>
          <b:Person>
            <b:Last>Thorogood</b:Last>
            <b:First>C</b:First>
          </b:Person>
          <b:Person>
            <b:Last>Tracy</b:Last>
            <b:First>S</b:First>
          </b:Person>
        </b:NameList>
      </b:BookAuthor>
    </b:Author>
    <b:Edition>3rd</b:Edition>
    <b:RefOrder>10</b:RefOrder>
  </b:Source>
  <b:Source>
    <b:Tag>Tho15</b:Tag>
    <b:SourceType>BookSection</b:SourceType>
    <b:Guid>{B140F71E-8A50-49DB-A4A5-2702D9C39D36}</b:Guid>
    <b:Title>Challenges to womens health</b:Title>
    <b:BookTitle>Midwifery Preparation for Practice</b:BookTitle>
    <b:Year>2015</b:Year>
    <b:Pages>157-206</b:Pages>
    <b:Publisher>Elsevier</b:Publisher>
    <b:Author>
      <b:Author>
        <b:NameList>
          <b:Person>
            <b:Last>Thorogood</b:Last>
            <b:First>C</b:First>
          </b:Person>
          <b:Person>
            <b:Last>Crowther</b:Last>
            <b:First>S</b:First>
          </b:Person>
        </b:NameList>
      </b:Author>
      <b:BookAuthor>
        <b:NameList>
          <b:Person>
            <b:Last>Pairman</b:Last>
            <b:First>S</b:First>
          </b:Person>
          <b:Person>
            <b:Last>Pincombe</b:Last>
            <b:First>J</b:First>
          </b:Person>
          <b:Person>
            <b:Last>Thorogood</b:Last>
            <b:First>C</b:First>
          </b:Person>
          <b:Person>
            <b:Last>Tracy</b:Last>
            <b:First>S</b:First>
          </b:Person>
        </b:NameList>
      </b:BookAuthor>
    </b:Author>
    <b:Edition>3rd</b:Edition>
    <b:RefOrder>11</b:RefOrder>
  </b:Source>
  <b:Source>
    <b:Tag>Dah16</b:Tag>
    <b:SourceType>JournalArticle</b:SourceType>
    <b:Guid>{B7B05258-C46B-4825-827D-17C378082581}</b:Guid>
    <b:Title>The politicisation of risk</b:Title>
    <b:JournalName>Midwifery</b:JournalName>
    <b:Year>2016</b:Year>
    <b:Pages>6-8</b:Pages>
    <b:Author>
      <b:Author>
        <b:NameList>
          <b:Person>
            <b:Last>Dahlen</b:Last>
            <b:Middle>G</b:Middle>
            <b:First>H</b:First>
          </b:Person>
        </b:NameList>
      </b:Author>
    </b:Author>
    <b:Volume>3</b:Volume>
    <b:Issue>8</b:Issue>
    <b:URL>https://dx.doi.org/10.1016/j.midw.2016.05.011</b:URL>
    <b:RefOrder>12</b:RefOrder>
  </b:Source>
  <b:Source>
    <b:Tag>Duf02</b:Tag>
    <b:SourceType>JournalArticle</b:SourceType>
    <b:Guid>{F7B474A3-6979-4E84-809C-E2167A4B61A9}</b:Guid>
    <b:Title>Normal birth: 'commonplace', 'according to rule' or 'well adjusted'?</b:Title>
    <b:JournalName>Midwifery Digest</b:JournalName>
    <b:Year>2002</b:Year>
    <b:Pages>313-314</b:Pages>
    <b:Volume>12</b:Volume>
    <b:Issue>3</b:Issue>
    <b:Author>
      <b:Author>
        <b:NameList>
          <b:Person>
            <b:Last>Duff</b:Last>
            <b:First>E</b:First>
          </b:Person>
        </b:NameList>
      </b:Author>
    </b:Author>
    <b:RefOrder>13</b:RefOrder>
  </b:Source>
  <b:Source>
    <b:Tag>Def97</b:Tag>
    <b:SourceType>DocumentFromInternetSite</b:SourceType>
    <b:Guid>{3F2FFBE9-F0F6-45E6-89F5-2F5C32B97ACA}</b:Guid>
    <b:Title>Definition of normal birth</b:Title>
    <b:Year>1997</b:Year>
    <b:InternetSiteTitle>WHO</b:InternetSiteTitle>
    <b:URL>https://www.who.int/health-topics/maternal-health</b:URL>
    <b:RefOrder>14</b:RefOrder>
  </b:Source>
  <b:Source>
    <b:Tag>Mat10</b:Tag>
    <b:SourceType>DocumentFromInternetSite</b:SourceType>
    <b:Guid>{9B426507-9C5A-4B35-BC33-491C97BA444C}</b:Guid>
    <b:Title>Maternity: Towards Normal Birth in NSW</b:Title>
    <b:InternetSiteTitle>NSW Health- Policy Directive</b:InternetSiteTitle>
    <b:Year>2010</b:Year>
    <b:Month>June</b:Month>
    <b:Day>29</b:Day>
    <b:URL>https://www1.health.nsw.gov.au/pds/ActivePDSDocuments/PD2010_045.pdf</b:URL>
    <b:RefOrder>1</b:RefOrder>
  </b:Source>
</b:Sources>
</file>

<file path=customXml/itemProps1.xml><?xml version="1.0" encoding="utf-8"?>
<ds:datastoreItem xmlns:ds="http://schemas.openxmlformats.org/officeDocument/2006/customXml" ds:itemID="{628ADB47-9C82-4648-A2C8-27924971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and Cat Williams</dc:creator>
  <cp:keywords/>
  <dc:description/>
  <cp:lastModifiedBy>Matt and Cat Williams</cp:lastModifiedBy>
  <cp:revision>9</cp:revision>
  <dcterms:created xsi:type="dcterms:W3CDTF">2021-08-27T09:22:00Z</dcterms:created>
  <dcterms:modified xsi:type="dcterms:W3CDTF">2021-08-27T09:26:00Z</dcterms:modified>
</cp:coreProperties>
</file>