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5557492"/>
        <w:docPartObj>
          <w:docPartGallery w:val="Cover Pages"/>
          <w:docPartUnique/>
        </w:docPartObj>
      </w:sdtPr>
      <w:sdtEndPr>
        <w:rPr>
          <w:rFonts w:asciiTheme="minorHAnsi" w:hAnsiTheme="minorHAnsi"/>
          <w:sz w:val="22"/>
          <w:szCs w:val="22"/>
          <w:lang w:val="en-AU"/>
        </w:rPr>
      </w:sdtEndPr>
      <w:sdtContent>
        <w:p w14:paraId="7773C2C3" w14:textId="40776A25" w:rsidR="000B7A28" w:rsidRDefault="000B7A28">
          <w:r>
            <w:rPr>
              <w:noProof/>
              <w:lang w:eastAsia="en-GB"/>
            </w:rPr>
            <mc:AlternateContent>
              <mc:Choice Requires="wps">
                <w:drawing>
                  <wp:anchor distT="0" distB="0" distL="114300" distR="114300" simplePos="0" relativeHeight="251660288" behindDoc="1" locked="0" layoutInCell="1" allowOverlap="1" wp14:anchorId="3CCC3E64" wp14:editId="096C5F76">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C2C3C0C"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
        <w:p w14:paraId="2F0398BE" w14:textId="402FEB8D" w:rsidR="000B7A28" w:rsidRDefault="00B65397">
          <w:pPr>
            <w:rPr>
              <w:rFonts w:asciiTheme="minorHAnsi" w:hAnsiTheme="minorHAnsi"/>
              <w:sz w:val="22"/>
              <w:szCs w:val="22"/>
              <w:lang w:val="en-AU"/>
            </w:rPr>
          </w:pPr>
          <w:r>
            <w:rPr>
              <w:noProof/>
              <w:lang w:eastAsia="en-GB"/>
            </w:rPr>
            <mc:AlternateContent>
              <mc:Choice Requires="wps">
                <w:drawing>
                  <wp:anchor distT="0" distB="0" distL="114300" distR="114300" simplePos="0" relativeHeight="251661312" behindDoc="0" locked="0" layoutInCell="1" allowOverlap="1" wp14:anchorId="6259C0E6" wp14:editId="4F3B7190">
                    <wp:simplePos x="0" y="0"/>
                    <wp:positionH relativeFrom="page">
                      <wp:posOffset>0</wp:posOffset>
                    </wp:positionH>
                    <wp:positionV relativeFrom="page">
                      <wp:posOffset>7774941</wp:posOffset>
                    </wp:positionV>
                    <wp:extent cx="5534025" cy="2918248"/>
                    <wp:effectExtent l="0" t="0" r="5715"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918248"/>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4D13719" w14:textId="77777777" w:rsidR="000B7A28" w:rsidRDefault="000B7A28">
                                    <w:pPr>
                                      <w:pStyle w:val="NoSpacing"/>
                                      <w:spacing w:after="480"/>
                                      <w:rPr>
                                        <w:i/>
                                        <w:color w:val="262626" w:themeColor="text1" w:themeTint="D9"/>
                                        <w:sz w:val="32"/>
                                        <w:szCs w:val="32"/>
                                      </w:rPr>
                                    </w:pPr>
                                    <w:r>
                                      <w:rPr>
                                        <w:i/>
                                        <w:color w:val="262626" w:themeColor="text1" w:themeTint="D9"/>
                                        <w:sz w:val="32"/>
                                        <w:szCs w:val="32"/>
                                        <w:lang w:val="en-GB"/>
                                      </w:rPr>
                                      <w:t>3190627</w:t>
                                    </w:r>
                                  </w:p>
                                </w:sdtContent>
                              </w:sdt>
                              <w:p w14:paraId="293B9366" w14:textId="77777777" w:rsidR="000B7A28" w:rsidRDefault="00BE6B00">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EndPr/>
                                  <w:sdtContent>
                                    <w:r w:rsidR="000B7A28">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6259C0E6" id="_x0000_t202" coordsize="21600,21600" o:spt="202" path="m0,0l0,21600,21600,21600,21600,0xe">
                    <v:stroke joinstyle="miter"/>
                    <v:path gradientshapeok="t" o:connecttype="rect"/>
                  </v:shapetype>
                  <v:shape id="Text Box 36" o:spid="_x0000_s1026" type="#_x0000_t202" alt="Title: Title and subtitle" style="position:absolute;margin-left:0;margin-top:612.2pt;width:435.75pt;height:229.8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&#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4D13719" w14:textId="77777777" w:rsidR="000B7A28" w:rsidRDefault="000B7A28">
                              <w:pPr>
                                <w:pStyle w:val="NoSpacing"/>
                                <w:spacing w:after="480"/>
                                <w:rPr>
                                  <w:i/>
                                  <w:color w:val="262626" w:themeColor="text1" w:themeTint="D9"/>
                                  <w:sz w:val="32"/>
                                  <w:szCs w:val="32"/>
                                </w:rPr>
                              </w:pPr>
                              <w:r>
                                <w:rPr>
                                  <w:i/>
                                  <w:color w:val="262626" w:themeColor="text1" w:themeTint="D9"/>
                                  <w:sz w:val="32"/>
                                  <w:szCs w:val="32"/>
                                  <w:lang w:val="en-GB"/>
                                </w:rPr>
                                <w:t>3190627</w:t>
                              </w:r>
                            </w:p>
                          </w:sdtContent>
                        </w:sdt>
                        <w:p w14:paraId="293B9366" w14:textId="77777777" w:rsidR="000B7A28" w:rsidRDefault="00BE6B00">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EndPr/>
                            <w:sdtContent>
                              <w:r w:rsidR="000B7A28">
                                <w:rPr>
                                  <w:i/>
                                  <w:color w:val="262626" w:themeColor="text1" w:themeTint="D9"/>
                                  <w:sz w:val="26"/>
                                  <w:szCs w:val="26"/>
                                </w:rPr>
                                <w:t xml:space="preserve">     </w:t>
                              </w:r>
                            </w:sdtContent>
                          </w:sdt>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B50AF3C" wp14:editId="6A2A25DD">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642735" cy="5831840"/>
                    <wp:effectExtent l="0" t="0" r="12065" b="10160"/>
                    <wp:wrapNone/>
                    <wp:docPr id="38" name="Text Box 38" title="Title and subtitle"/>
                    <wp:cNvGraphicFramePr/>
                    <a:graphic xmlns:a="http://schemas.openxmlformats.org/drawingml/2006/main">
                      <a:graphicData uri="http://schemas.microsoft.com/office/word/2010/wordprocessingShape">
                        <wps:wsp>
                          <wps:cNvSpPr txBox="1"/>
                          <wps:spPr>
                            <a:xfrm>
                              <a:off x="0" y="0"/>
                              <a:ext cx="6642735" cy="5831840"/>
                            </a:xfrm>
                            <a:prstGeom prst="rect">
                              <a:avLst/>
                            </a:prstGeom>
                            <a:noFill/>
                            <a:ln w="6350">
                              <a:noFill/>
                            </a:ln>
                          </wps:spPr>
                          <wps:txbx>
                            <w:txbxContent>
                              <w:sdt>
                                <w:sdtPr>
                                  <w:rPr>
                                    <w:rFonts w:asciiTheme="majorHAnsi" w:hAnsiTheme="majorHAnsi"/>
                                    <w:i/>
                                    <w:caps/>
                                    <w:color w:val="262626" w:themeColor="text1" w:themeTint="D9"/>
                                    <w:sz w:val="96"/>
                                    <w:szCs w:val="120"/>
                                    <w:lang w:val="en-GB"/>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E79E0C6" w14:textId="40803DCF" w:rsidR="000B7A28" w:rsidRPr="00A93102" w:rsidRDefault="000B7A28">
                                    <w:pPr>
                                      <w:pStyle w:val="NoSpacing"/>
                                      <w:spacing w:after="900"/>
                                      <w:rPr>
                                        <w:rFonts w:asciiTheme="majorHAnsi" w:hAnsiTheme="majorHAnsi"/>
                                        <w:i/>
                                        <w:caps/>
                                        <w:color w:val="262626" w:themeColor="text1" w:themeTint="D9"/>
                                        <w:sz w:val="96"/>
                                        <w:szCs w:val="120"/>
                                        <w:lang w:val="en-GB"/>
                                      </w:rPr>
                                    </w:pPr>
                                    <w:r w:rsidRPr="00A93102">
                                      <w:rPr>
                                        <w:rFonts w:asciiTheme="majorHAnsi" w:hAnsiTheme="majorHAnsi"/>
                                        <w:i/>
                                        <w:caps/>
                                        <w:color w:val="262626" w:themeColor="text1" w:themeTint="D9"/>
                                        <w:sz w:val="96"/>
                                        <w:szCs w:val="120"/>
                                        <w:lang w:val="en-GB"/>
                                      </w:rPr>
                                      <w:t>Confere</w:t>
                                    </w:r>
                                    <w:r w:rsidR="00A65B35" w:rsidRPr="00A93102">
                                      <w:rPr>
                                        <w:rFonts w:asciiTheme="majorHAnsi" w:hAnsiTheme="majorHAnsi"/>
                                        <w:i/>
                                        <w:caps/>
                                        <w:color w:val="262626" w:themeColor="text1" w:themeTint="D9"/>
                                        <w:sz w:val="96"/>
                                        <w:szCs w:val="120"/>
                                        <w:lang w:val="en-GB"/>
                                      </w:rPr>
                                      <w:t>nce Abstract and reference list Final</w:t>
                                    </w:r>
                                  </w:p>
                                </w:sdtContent>
                              </w:sdt>
                              <w:sdt>
                                <w:sdtPr>
                                  <w:rPr>
                                    <w:color w:val="262626" w:themeColor="text1" w:themeTint="D9"/>
                                    <w:sz w:val="36"/>
                                    <w:szCs w:val="36"/>
                                    <w:lang w:val="en-GB"/>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04A293A" w14:textId="6948E6EE" w:rsidR="00B65397" w:rsidRPr="00447C4F" w:rsidRDefault="00B65397">
                                    <w:pPr>
                                      <w:pStyle w:val="NoSpacing"/>
                                      <w:rPr>
                                        <w:i/>
                                        <w:color w:val="262626" w:themeColor="text1" w:themeTint="D9"/>
                                        <w:sz w:val="36"/>
                                        <w:szCs w:val="36"/>
                                        <w:lang w:val="en-GB"/>
                                      </w:rPr>
                                    </w:pPr>
                                    <w:r w:rsidRPr="00447C4F">
                                      <w:rPr>
                                        <w:color w:val="262626" w:themeColor="text1" w:themeTint="D9"/>
                                        <w:sz w:val="36"/>
                                        <w:szCs w:val="36"/>
                                        <w:lang w:val="en-GB"/>
                                      </w:rPr>
                                      <w:t>Poster</w:t>
                                    </w:r>
                                  </w:p>
                                </w:sdtContent>
                              </w:sdt>
                              <w:p w14:paraId="4BD6C908" w14:textId="77777777" w:rsidR="00B65397" w:rsidRPr="00447C4F" w:rsidRDefault="00B65397">
                                <w:pPr>
                                  <w:pStyle w:val="NoSpacing"/>
                                  <w:rPr>
                                    <w:i/>
                                    <w:color w:val="262626" w:themeColor="text1" w:themeTint="D9"/>
                                    <w:sz w:val="36"/>
                                    <w:szCs w:val="36"/>
                                    <w:lang w:val="en-GB"/>
                                  </w:rPr>
                                </w:pPr>
                              </w:p>
                              <w:p w14:paraId="09EB06CF" w14:textId="77777777" w:rsidR="00B65397" w:rsidRPr="00447C4F" w:rsidRDefault="00B65397">
                                <w:pPr>
                                  <w:pStyle w:val="NoSpacing"/>
                                  <w:rPr>
                                    <w:i/>
                                    <w:color w:val="262626" w:themeColor="text1" w:themeTint="D9"/>
                                    <w:sz w:val="36"/>
                                    <w:szCs w:val="36"/>
                                    <w:lang w:val="en-GB"/>
                                  </w:rPr>
                                </w:pPr>
                              </w:p>
                              <w:p w14:paraId="1870F0F1" w14:textId="3FD81ACD" w:rsidR="00B65397" w:rsidRPr="00A93102" w:rsidRDefault="00B65397">
                                <w:pPr>
                                  <w:pStyle w:val="NoSpacing"/>
                                  <w:rPr>
                                    <w:color w:val="262626" w:themeColor="text1" w:themeTint="D9"/>
                                    <w:sz w:val="40"/>
                                    <w:szCs w:val="36"/>
                                    <w:lang w:val="en-GB"/>
                                  </w:rPr>
                                </w:pPr>
                                <w:r w:rsidRPr="00A93102">
                                  <w:rPr>
                                    <w:color w:val="262626" w:themeColor="text1" w:themeTint="D9"/>
                                    <w:sz w:val="40"/>
                                    <w:szCs w:val="36"/>
                                    <w:lang w:val="en-GB"/>
                                  </w:rPr>
                                  <w:t>Continuity Midwifery B</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0AF3C" id="Text Box 38" o:spid="_x0000_s1027" type="#_x0000_t202" alt="Title: Title and subtitle" style="position:absolute;margin-left:0;margin-top:0;width:523.05pt;height:459.2pt;z-index:251659264;visibility:visible;mso-wrap-style:square;mso-width-percent:0;mso-height-percent:0;mso-top-percent:150;mso-wrap-distance-left:9pt;mso-wrap-distance-top:0;mso-wrap-distance-right:9pt;mso-wrap-distance-bottom:0;mso-position-horizontal:left;mso-position-horizontal-relative:page;mso-position-vertical-relative:page;mso-width-percent: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" filled="f" stroked="f" strokeweight=".5pt">
                    <v:textbox inset="93.6pt,,0">
                      <w:txbxContent>
                        <w:sdt>
                          <w:sdtPr>
                            <w:rPr>
                              <w:rFonts w:asciiTheme="majorHAnsi" w:hAnsiTheme="majorHAnsi"/>
                              <w:i/>
                              <w:caps/>
                              <w:color w:val="262626" w:themeColor="text1" w:themeTint="D9"/>
                              <w:sz w:val="96"/>
                              <w:szCs w:val="120"/>
                              <w:lang w:val="en-GB"/>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E79E0C6" w14:textId="40803DCF" w:rsidR="000B7A28" w:rsidRPr="00A93102" w:rsidRDefault="000B7A28">
                              <w:pPr>
                                <w:pStyle w:val="NoSpacing"/>
                                <w:spacing w:after="900"/>
                                <w:rPr>
                                  <w:rFonts w:asciiTheme="majorHAnsi" w:hAnsiTheme="majorHAnsi"/>
                                  <w:i/>
                                  <w:caps/>
                                  <w:color w:val="262626" w:themeColor="text1" w:themeTint="D9"/>
                                  <w:sz w:val="96"/>
                                  <w:szCs w:val="120"/>
                                  <w:lang w:val="en-GB"/>
                                </w:rPr>
                              </w:pPr>
                              <w:r w:rsidRPr="00A93102">
                                <w:rPr>
                                  <w:rFonts w:asciiTheme="majorHAnsi" w:hAnsiTheme="majorHAnsi"/>
                                  <w:i/>
                                  <w:caps/>
                                  <w:color w:val="262626" w:themeColor="text1" w:themeTint="D9"/>
                                  <w:sz w:val="96"/>
                                  <w:szCs w:val="120"/>
                                  <w:lang w:val="en-GB"/>
                                </w:rPr>
                                <w:t>Confere</w:t>
                              </w:r>
                              <w:r w:rsidR="00A65B35" w:rsidRPr="00A93102">
                                <w:rPr>
                                  <w:rFonts w:asciiTheme="majorHAnsi" w:hAnsiTheme="majorHAnsi"/>
                                  <w:i/>
                                  <w:caps/>
                                  <w:color w:val="262626" w:themeColor="text1" w:themeTint="D9"/>
                                  <w:sz w:val="96"/>
                                  <w:szCs w:val="120"/>
                                  <w:lang w:val="en-GB"/>
                                </w:rPr>
                                <w:t>nce Abstract and reference list Final</w:t>
                              </w:r>
                            </w:p>
                          </w:sdtContent>
                        </w:sdt>
                        <w:sdt>
                          <w:sdtPr>
                            <w:rPr>
                              <w:color w:val="262626" w:themeColor="text1" w:themeTint="D9"/>
                              <w:sz w:val="36"/>
                              <w:szCs w:val="36"/>
                              <w:lang w:val="en-GB"/>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04A293A" w14:textId="6948E6EE" w:rsidR="00B65397" w:rsidRPr="00447C4F" w:rsidRDefault="00B65397">
                              <w:pPr>
                                <w:pStyle w:val="NoSpacing"/>
                                <w:rPr>
                                  <w:i/>
                                  <w:color w:val="262626" w:themeColor="text1" w:themeTint="D9"/>
                                  <w:sz w:val="36"/>
                                  <w:szCs w:val="36"/>
                                  <w:lang w:val="en-GB"/>
                                </w:rPr>
                              </w:pPr>
                              <w:r w:rsidRPr="00447C4F">
                                <w:rPr>
                                  <w:color w:val="262626" w:themeColor="text1" w:themeTint="D9"/>
                                  <w:sz w:val="36"/>
                                  <w:szCs w:val="36"/>
                                  <w:lang w:val="en-GB"/>
                                </w:rPr>
                                <w:t>Poster</w:t>
                              </w:r>
                            </w:p>
                          </w:sdtContent>
                        </w:sdt>
                        <w:p w14:paraId="4BD6C908" w14:textId="77777777" w:rsidR="00B65397" w:rsidRPr="00447C4F" w:rsidRDefault="00B65397">
                          <w:pPr>
                            <w:pStyle w:val="NoSpacing"/>
                            <w:rPr>
                              <w:i/>
                              <w:color w:val="262626" w:themeColor="text1" w:themeTint="D9"/>
                              <w:sz w:val="36"/>
                              <w:szCs w:val="36"/>
                              <w:lang w:val="en-GB"/>
                            </w:rPr>
                          </w:pPr>
                        </w:p>
                        <w:p w14:paraId="09EB06CF" w14:textId="77777777" w:rsidR="00B65397" w:rsidRPr="00447C4F" w:rsidRDefault="00B65397">
                          <w:pPr>
                            <w:pStyle w:val="NoSpacing"/>
                            <w:rPr>
                              <w:i/>
                              <w:color w:val="262626" w:themeColor="text1" w:themeTint="D9"/>
                              <w:sz w:val="36"/>
                              <w:szCs w:val="36"/>
                              <w:lang w:val="en-GB"/>
                            </w:rPr>
                          </w:pPr>
                        </w:p>
                        <w:p w14:paraId="1870F0F1" w14:textId="3FD81ACD" w:rsidR="00B65397" w:rsidRPr="00A93102" w:rsidRDefault="00B65397">
                          <w:pPr>
                            <w:pStyle w:val="NoSpacing"/>
                            <w:rPr>
                              <w:color w:val="262626" w:themeColor="text1" w:themeTint="D9"/>
                              <w:sz w:val="40"/>
                              <w:szCs w:val="36"/>
                              <w:lang w:val="en-GB"/>
                            </w:rPr>
                          </w:pPr>
                          <w:r w:rsidRPr="00A93102">
                            <w:rPr>
                              <w:color w:val="262626" w:themeColor="text1" w:themeTint="D9"/>
                              <w:sz w:val="40"/>
                              <w:szCs w:val="36"/>
                              <w:lang w:val="en-GB"/>
                            </w:rPr>
                            <w:t>Continuity Midwifery B</w:t>
                          </w:r>
                        </w:p>
                      </w:txbxContent>
                    </v:textbox>
                    <w10:wrap anchorx="page" anchory="page"/>
                  </v:shape>
                </w:pict>
              </mc:Fallback>
            </mc:AlternateContent>
          </w:r>
          <w:r w:rsidR="000B7A28">
            <w:rPr>
              <w:rFonts w:asciiTheme="minorHAnsi" w:hAnsiTheme="minorHAnsi"/>
              <w:sz w:val="22"/>
              <w:szCs w:val="22"/>
              <w:lang w:val="en-AU"/>
            </w:rPr>
            <w:br w:type="page"/>
          </w:r>
        </w:p>
      </w:sdtContent>
    </w:sdt>
    <w:p w14:paraId="38078C10" w14:textId="77777777" w:rsidR="00363F44" w:rsidRPr="000B7A28" w:rsidRDefault="00363F44" w:rsidP="000B7A28">
      <w:pPr>
        <w:spacing w:line="480" w:lineRule="auto"/>
        <w:rPr>
          <w:rFonts w:asciiTheme="minorHAnsi" w:hAnsiTheme="minorHAnsi"/>
          <w:b/>
          <w:sz w:val="22"/>
          <w:szCs w:val="22"/>
          <w:lang w:val="en-AU"/>
        </w:rPr>
      </w:pPr>
      <w:r w:rsidRPr="000B7A28">
        <w:rPr>
          <w:rFonts w:asciiTheme="minorHAnsi" w:hAnsiTheme="minorHAnsi"/>
          <w:b/>
          <w:sz w:val="22"/>
          <w:szCs w:val="22"/>
          <w:lang w:val="en-AU"/>
        </w:rPr>
        <w:lastRenderedPageBreak/>
        <w:t>If it’s not broke don’t fix it: Early pushing before full dilation.</w:t>
      </w:r>
    </w:p>
    <w:p w14:paraId="14950FE4" w14:textId="77777777" w:rsidR="000B7A28" w:rsidRPr="000B7A28" w:rsidRDefault="000B7A28" w:rsidP="000B7A28">
      <w:pPr>
        <w:spacing w:line="480" w:lineRule="auto"/>
        <w:rPr>
          <w:rFonts w:asciiTheme="minorHAnsi" w:hAnsiTheme="minorHAnsi"/>
          <w:sz w:val="22"/>
          <w:szCs w:val="22"/>
          <w:lang w:val="en-AU"/>
        </w:rPr>
      </w:pPr>
      <w:bookmarkStart w:id="0" w:name="_GoBack"/>
      <w:bookmarkEnd w:id="0"/>
    </w:p>
    <w:p w14:paraId="358F5BA5" w14:textId="5177979D" w:rsidR="00363F44" w:rsidRPr="000B7A28" w:rsidRDefault="00887F96" w:rsidP="000B7A28">
      <w:pPr>
        <w:spacing w:line="480" w:lineRule="auto"/>
        <w:rPr>
          <w:rFonts w:asciiTheme="minorHAnsi" w:hAnsiTheme="minorHAnsi"/>
          <w:sz w:val="22"/>
          <w:szCs w:val="22"/>
          <w:lang w:val="en-AU"/>
        </w:rPr>
      </w:pPr>
      <w:r w:rsidRPr="000B7A28">
        <w:rPr>
          <w:rFonts w:asciiTheme="minorHAnsi" w:hAnsiTheme="minorHAnsi"/>
          <w:sz w:val="22"/>
          <w:szCs w:val="22"/>
          <w:lang w:val="en-AU"/>
        </w:rPr>
        <w:t xml:space="preserve">Vaginal examinations should only be performed when there is a clear clinical indication or at maternal request, with consent. </w:t>
      </w:r>
      <w:r w:rsidR="00106AE0" w:rsidRPr="000B7A28">
        <w:rPr>
          <w:rFonts w:asciiTheme="minorHAnsi" w:hAnsiTheme="minorHAnsi"/>
          <w:sz w:val="22"/>
          <w:szCs w:val="22"/>
          <w:lang w:val="en-AU"/>
        </w:rPr>
        <w:t>Many women experience an urge to push in labour, and it is common practice to ask to perform a vaginal exam to confirm full dilation before encouraging the woman to push. This is because there is a widespread belief that pushing on a cervix that has not fully dilated is harmful and can cause trauma and oedema.</w:t>
      </w:r>
    </w:p>
    <w:p w14:paraId="57BB9D29" w14:textId="77777777" w:rsidR="00887F96" w:rsidRPr="000B7A28" w:rsidRDefault="00887F96" w:rsidP="000B7A28">
      <w:pPr>
        <w:spacing w:line="480" w:lineRule="auto"/>
        <w:rPr>
          <w:rFonts w:asciiTheme="minorHAnsi" w:hAnsiTheme="minorHAnsi"/>
          <w:sz w:val="22"/>
          <w:szCs w:val="22"/>
          <w:lang w:val="en-AU"/>
        </w:rPr>
      </w:pPr>
    </w:p>
    <w:p w14:paraId="53890E07" w14:textId="5DA6700B" w:rsidR="00887F96" w:rsidRPr="000B7A28" w:rsidRDefault="00887F96" w:rsidP="000B7A28">
      <w:pPr>
        <w:spacing w:line="480" w:lineRule="auto"/>
        <w:rPr>
          <w:rFonts w:asciiTheme="minorHAnsi" w:hAnsiTheme="minorHAnsi"/>
          <w:sz w:val="22"/>
          <w:szCs w:val="22"/>
          <w:lang w:val="en-AU"/>
        </w:rPr>
      </w:pPr>
      <w:r w:rsidRPr="000B7A28">
        <w:rPr>
          <w:rFonts w:asciiTheme="minorHAnsi" w:hAnsiTheme="minorHAnsi"/>
          <w:sz w:val="22"/>
          <w:szCs w:val="22"/>
          <w:lang w:val="en-AU"/>
        </w:rPr>
        <w:t>The most up to dat</w:t>
      </w:r>
      <w:r w:rsidR="001D77C6" w:rsidRPr="000B7A28">
        <w:rPr>
          <w:rFonts w:asciiTheme="minorHAnsi" w:hAnsiTheme="minorHAnsi"/>
          <w:sz w:val="22"/>
          <w:szCs w:val="22"/>
          <w:lang w:val="en-AU"/>
        </w:rPr>
        <w:t>e evidence does not support the</w:t>
      </w:r>
      <w:r w:rsidRPr="000B7A28">
        <w:rPr>
          <w:rFonts w:asciiTheme="minorHAnsi" w:hAnsiTheme="minorHAnsi"/>
          <w:sz w:val="22"/>
          <w:szCs w:val="22"/>
          <w:lang w:val="en-AU"/>
        </w:rPr>
        <w:t xml:space="preserve"> belief that</w:t>
      </w:r>
      <w:r w:rsidR="001D77C6" w:rsidRPr="000B7A28">
        <w:rPr>
          <w:rFonts w:asciiTheme="minorHAnsi" w:hAnsiTheme="minorHAnsi"/>
          <w:sz w:val="22"/>
          <w:szCs w:val="22"/>
          <w:lang w:val="en-AU"/>
        </w:rPr>
        <w:t xml:space="preserve"> physiological pushing</w:t>
      </w:r>
      <w:r w:rsidR="00FD6B43" w:rsidRPr="000B7A28">
        <w:rPr>
          <w:rFonts w:asciiTheme="minorHAnsi" w:hAnsiTheme="minorHAnsi"/>
          <w:sz w:val="22"/>
          <w:szCs w:val="22"/>
          <w:lang w:val="en-AU"/>
        </w:rPr>
        <w:t xml:space="preserve"> in low risk, spontaneous labours</w:t>
      </w:r>
      <w:r w:rsidR="001D77C6" w:rsidRPr="000B7A28">
        <w:rPr>
          <w:rFonts w:asciiTheme="minorHAnsi" w:hAnsiTheme="minorHAnsi"/>
          <w:sz w:val="22"/>
          <w:szCs w:val="22"/>
          <w:lang w:val="en-AU"/>
        </w:rPr>
        <w:t xml:space="preserve"> before full dilation causes harm</w:t>
      </w:r>
      <w:r w:rsidRPr="000B7A28">
        <w:rPr>
          <w:rFonts w:asciiTheme="minorHAnsi" w:hAnsiTheme="minorHAnsi"/>
          <w:sz w:val="22"/>
          <w:szCs w:val="22"/>
          <w:lang w:val="en-AU"/>
        </w:rPr>
        <w:t xml:space="preserve">. </w:t>
      </w:r>
      <w:r w:rsidR="004309F0">
        <w:rPr>
          <w:rFonts w:asciiTheme="minorHAnsi" w:hAnsiTheme="minorHAnsi"/>
          <w:sz w:val="22"/>
          <w:szCs w:val="22"/>
          <w:lang w:val="en-AU"/>
        </w:rPr>
        <w:t>A</w:t>
      </w:r>
      <w:r w:rsidR="001D77C6" w:rsidRPr="000B7A28">
        <w:rPr>
          <w:rFonts w:asciiTheme="minorHAnsi" w:hAnsiTheme="minorHAnsi"/>
          <w:sz w:val="22"/>
          <w:szCs w:val="22"/>
          <w:lang w:val="en-AU"/>
        </w:rPr>
        <w:t xml:space="preserve"> randomised control trial found that there was no difference in APGAR scores and no incidence of cervical or sever</w:t>
      </w:r>
      <w:r w:rsidR="00220941">
        <w:rPr>
          <w:rFonts w:asciiTheme="minorHAnsi" w:hAnsiTheme="minorHAnsi"/>
          <w:sz w:val="22"/>
          <w:szCs w:val="22"/>
          <w:lang w:val="en-AU"/>
        </w:rPr>
        <w:t>e</w:t>
      </w:r>
      <w:r w:rsidR="001D77C6" w:rsidRPr="000B7A28">
        <w:rPr>
          <w:rFonts w:asciiTheme="minorHAnsi" w:hAnsiTheme="minorHAnsi"/>
          <w:sz w:val="22"/>
          <w:szCs w:val="22"/>
          <w:lang w:val="en-AU"/>
        </w:rPr>
        <w:t xml:space="preserve"> perineal tearing</w:t>
      </w:r>
      <w:r w:rsidR="00315D7D">
        <w:rPr>
          <w:rFonts w:asciiTheme="minorHAnsi" w:hAnsiTheme="minorHAnsi"/>
          <w:sz w:val="22"/>
          <w:szCs w:val="22"/>
          <w:lang w:val="en-AU"/>
        </w:rPr>
        <w:t xml:space="preserve"> associated with EPU</w:t>
      </w:r>
      <w:r w:rsidR="004309F0">
        <w:rPr>
          <w:rFonts w:asciiTheme="minorHAnsi" w:hAnsiTheme="minorHAnsi"/>
          <w:sz w:val="22"/>
          <w:szCs w:val="22"/>
          <w:lang w:val="en-AU"/>
        </w:rPr>
        <w:t>,</w:t>
      </w:r>
      <w:r w:rsidR="00315D7D">
        <w:rPr>
          <w:rFonts w:asciiTheme="minorHAnsi" w:hAnsiTheme="minorHAnsi"/>
          <w:sz w:val="22"/>
          <w:szCs w:val="22"/>
          <w:lang w:val="en-AU"/>
        </w:rPr>
        <w:t xml:space="preserve"> and another review found </w:t>
      </w:r>
      <w:r w:rsidR="004309F0">
        <w:rPr>
          <w:rFonts w:asciiTheme="minorHAnsi" w:hAnsiTheme="minorHAnsi"/>
          <w:sz w:val="22"/>
          <w:szCs w:val="22"/>
          <w:lang w:val="en-AU"/>
        </w:rPr>
        <w:t>no difference in the instance of</w:t>
      </w:r>
      <w:r w:rsidR="00315D7D">
        <w:rPr>
          <w:rFonts w:asciiTheme="minorHAnsi" w:hAnsiTheme="minorHAnsi"/>
          <w:sz w:val="22"/>
          <w:szCs w:val="22"/>
          <w:lang w:val="en-AU"/>
        </w:rPr>
        <w:t xml:space="preserve"> cervical tearing.</w:t>
      </w:r>
    </w:p>
    <w:p w14:paraId="4BEBFE1B" w14:textId="77777777" w:rsidR="00FD6B43" w:rsidRPr="000B7A28" w:rsidRDefault="00FD6B43" w:rsidP="000B7A28">
      <w:pPr>
        <w:spacing w:line="480" w:lineRule="auto"/>
        <w:rPr>
          <w:rFonts w:asciiTheme="minorHAnsi" w:hAnsiTheme="minorHAnsi"/>
          <w:sz w:val="22"/>
          <w:szCs w:val="22"/>
          <w:lang w:val="en-AU"/>
        </w:rPr>
      </w:pPr>
    </w:p>
    <w:p w14:paraId="37802A4D" w14:textId="3F6F0514" w:rsidR="000B7A28" w:rsidRPr="000B7A28" w:rsidRDefault="00220941" w:rsidP="000B7A28">
      <w:pPr>
        <w:spacing w:line="480" w:lineRule="auto"/>
        <w:rPr>
          <w:rFonts w:asciiTheme="minorHAnsi" w:hAnsiTheme="minorHAnsi"/>
          <w:sz w:val="22"/>
          <w:szCs w:val="22"/>
          <w:lang w:val="en-AU"/>
        </w:rPr>
      </w:pPr>
      <w:r>
        <w:rPr>
          <w:rFonts w:asciiTheme="minorHAnsi" w:hAnsiTheme="minorHAnsi"/>
          <w:sz w:val="22"/>
          <w:szCs w:val="22"/>
          <w:lang w:val="en-AU"/>
        </w:rPr>
        <w:t xml:space="preserve">There is a severe lack of evidence to support current practice. </w:t>
      </w:r>
      <w:r w:rsidR="00F27B46">
        <w:rPr>
          <w:rFonts w:asciiTheme="minorHAnsi" w:hAnsiTheme="minorHAnsi"/>
          <w:sz w:val="22"/>
          <w:szCs w:val="22"/>
          <w:lang w:val="en-AU"/>
        </w:rPr>
        <w:t xml:space="preserve">Therefore, a policy of </w:t>
      </w:r>
      <w:r w:rsidR="00796791">
        <w:rPr>
          <w:rFonts w:asciiTheme="minorHAnsi" w:hAnsiTheme="minorHAnsi"/>
          <w:sz w:val="22"/>
          <w:szCs w:val="22"/>
          <w:lang w:val="en-AU"/>
        </w:rPr>
        <w:t xml:space="preserve">only </w:t>
      </w:r>
      <w:r w:rsidR="00F27B46">
        <w:rPr>
          <w:rFonts w:asciiTheme="minorHAnsi" w:hAnsiTheme="minorHAnsi"/>
          <w:sz w:val="22"/>
          <w:szCs w:val="22"/>
          <w:lang w:val="en-AU"/>
        </w:rPr>
        <w:t>offering vaginal examinations to confirm full dilation during low r</w:t>
      </w:r>
      <w:r w:rsidR="00796791">
        <w:rPr>
          <w:rFonts w:asciiTheme="minorHAnsi" w:hAnsiTheme="minorHAnsi"/>
          <w:sz w:val="22"/>
          <w:szCs w:val="22"/>
          <w:lang w:val="en-AU"/>
        </w:rPr>
        <w:t xml:space="preserve">isk, spontaneous labours </w:t>
      </w:r>
      <w:r w:rsidR="00F27B46">
        <w:rPr>
          <w:rFonts w:asciiTheme="minorHAnsi" w:hAnsiTheme="minorHAnsi"/>
          <w:sz w:val="22"/>
          <w:szCs w:val="22"/>
          <w:lang w:val="en-AU"/>
        </w:rPr>
        <w:t xml:space="preserve">when </w:t>
      </w:r>
      <w:r w:rsidR="00752D7A">
        <w:rPr>
          <w:rFonts w:asciiTheme="minorHAnsi" w:hAnsiTheme="minorHAnsi"/>
          <w:sz w:val="22"/>
          <w:szCs w:val="22"/>
          <w:lang w:val="en-AU"/>
        </w:rPr>
        <w:t xml:space="preserve">clearly </w:t>
      </w:r>
      <w:r w:rsidR="00F27B46">
        <w:rPr>
          <w:rFonts w:asciiTheme="minorHAnsi" w:hAnsiTheme="minorHAnsi"/>
          <w:sz w:val="22"/>
          <w:szCs w:val="22"/>
          <w:lang w:val="en-AU"/>
        </w:rPr>
        <w:t xml:space="preserve">clinically indicated, should be </w:t>
      </w:r>
      <w:r w:rsidR="00D16FC1">
        <w:rPr>
          <w:rFonts w:asciiTheme="minorHAnsi" w:hAnsiTheme="minorHAnsi"/>
          <w:sz w:val="22"/>
          <w:szCs w:val="22"/>
          <w:lang w:val="en-AU"/>
        </w:rPr>
        <w:t>widely implemented</w:t>
      </w:r>
      <w:r w:rsidR="00F27B46">
        <w:rPr>
          <w:rFonts w:asciiTheme="minorHAnsi" w:hAnsiTheme="minorHAnsi"/>
          <w:sz w:val="22"/>
          <w:szCs w:val="22"/>
          <w:lang w:val="en-AU"/>
        </w:rPr>
        <w:t xml:space="preserve">. </w:t>
      </w:r>
      <w:r w:rsidRPr="000B7A28">
        <w:rPr>
          <w:rFonts w:asciiTheme="minorHAnsi" w:hAnsiTheme="minorHAnsi"/>
          <w:sz w:val="22"/>
          <w:szCs w:val="22"/>
          <w:lang w:val="en-AU"/>
        </w:rPr>
        <w:t>The aim of this policy is to reduce unnecessary, potentially harmful vaginal examinations, to educate midwives and other staff on the current evidence surrounding EPU and encourage facilitating trust in women’s bodies.</w:t>
      </w:r>
      <w:r>
        <w:rPr>
          <w:rFonts w:asciiTheme="minorHAnsi" w:hAnsiTheme="minorHAnsi"/>
          <w:sz w:val="22"/>
          <w:szCs w:val="22"/>
          <w:lang w:val="en-AU"/>
        </w:rPr>
        <w:t xml:space="preserve"> </w:t>
      </w:r>
      <w:r w:rsidR="00315D7D">
        <w:rPr>
          <w:rFonts w:asciiTheme="minorHAnsi" w:hAnsiTheme="minorHAnsi"/>
          <w:sz w:val="22"/>
          <w:szCs w:val="22"/>
          <w:lang w:val="en-AU"/>
        </w:rPr>
        <w:t xml:space="preserve">This policy would be </w:t>
      </w:r>
      <w:r w:rsidR="004309F0">
        <w:rPr>
          <w:rFonts w:asciiTheme="minorHAnsi" w:hAnsiTheme="minorHAnsi"/>
          <w:sz w:val="22"/>
          <w:szCs w:val="22"/>
          <w:lang w:val="en-AU"/>
        </w:rPr>
        <w:t>implemented</w:t>
      </w:r>
      <w:r w:rsidR="00315D7D">
        <w:rPr>
          <w:rFonts w:asciiTheme="minorHAnsi" w:hAnsiTheme="minorHAnsi"/>
          <w:sz w:val="22"/>
          <w:szCs w:val="22"/>
          <w:lang w:val="en-AU"/>
        </w:rPr>
        <w:t xml:space="preserve"> at both public ACT </w:t>
      </w:r>
      <w:r w:rsidR="000A2F37">
        <w:rPr>
          <w:rFonts w:asciiTheme="minorHAnsi" w:hAnsiTheme="minorHAnsi"/>
          <w:sz w:val="22"/>
          <w:szCs w:val="22"/>
          <w:lang w:val="en-AU"/>
        </w:rPr>
        <w:t>hospitals. Staff would be educated</w:t>
      </w:r>
      <w:r w:rsidR="004309F0">
        <w:rPr>
          <w:rFonts w:asciiTheme="minorHAnsi" w:hAnsiTheme="minorHAnsi"/>
          <w:sz w:val="22"/>
          <w:szCs w:val="22"/>
          <w:lang w:val="en-AU"/>
        </w:rPr>
        <w:t xml:space="preserve"> and encourage</w:t>
      </w:r>
      <w:r>
        <w:rPr>
          <w:rFonts w:asciiTheme="minorHAnsi" w:hAnsiTheme="minorHAnsi"/>
          <w:sz w:val="22"/>
          <w:szCs w:val="22"/>
          <w:lang w:val="en-AU"/>
        </w:rPr>
        <w:t>d</w:t>
      </w:r>
      <w:r w:rsidR="004309F0">
        <w:rPr>
          <w:rFonts w:asciiTheme="minorHAnsi" w:hAnsiTheme="minorHAnsi"/>
          <w:sz w:val="22"/>
          <w:szCs w:val="22"/>
          <w:lang w:val="en-AU"/>
        </w:rPr>
        <w:t xml:space="preserve"> to complete qualitative surveys,</w:t>
      </w:r>
      <w:r w:rsidR="000A2F37">
        <w:rPr>
          <w:rFonts w:asciiTheme="minorHAnsi" w:hAnsiTheme="minorHAnsi"/>
          <w:sz w:val="22"/>
          <w:szCs w:val="22"/>
          <w:lang w:val="en-AU"/>
        </w:rPr>
        <w:t xml:space="preserve"> and an audit of birth statistics would be carried out pre and post implementation</w:t>
      </w:r>
      <w:r w:rsidR="00D16FC1">
        <w:rPr>
          <w:rFonts w:asciiTheme="minorHAnsi" w:hAnsiTheme="minorHAnsi"/>
          <w:sz w:val="22"/>
          <w:szCs w:val="22"/>
          <w:lang w:val="en-AU"/>
        </w:rPr>
        <w:t xml:space="preserve"> to evaluate outcomes</w:t>
      </w:r>
      <w:r w:rsidR="000A2F37">
        <w:rPr>
          <w:rFonts w:asciiTheme="minorHAnsi" w:hAnsiTheme="minorHAnsi"/>
          <w:sz w:val="22"/>
          <w:szCs w:val="22"/>
          <w:lang w:val="en-AU"/>
        </w:rPr>
        <w:t xml:space="preserve">. </w:t>
      </w:r>
    </w:p>
    <w:p w14:paraId="4AE3934E" w14:textId="77777777" w:rsidR="000B7A28" w:rsidRPr="000B7A28" w:rsidRDefault="000B7A28" w:rsidP="000B7A28">
      <w:pPr>
        <w:spacing w:line="480" w:lineRule="auto"/>
        <w:rPr>
          <w:rFonts w:asciiTheme="minorHAnsi" w:hAnsiTheme="minorHAnsi"/>
          <w:sz w:val="22"/>
          <w:szCs w:val="22"/>
          <w:lang w:val="en-AU"/>
        </w:rPr>
      </w:pPr>
    </w:p>
    <w:p w14:paraId="1796EE2E" w14:textId="77777777" w:rsidR="00106AE0" w:rsidRPr="000B7A28" w:rsidRDefault="00106AE0" w:rsidP="00106AE0">
      <w:pPr>
        <w:rPr>
          <w:rFonts w:asciiTheme="minorHAnsi" w:hAnsiTheme="minorHAnsi"/>
          <w:sz w:val="22"/>
          <w:szCs w:val="22"/>
          <w:lang w:val="en-AU"/>
        </w:rPr>
      </w:pPr>
    </w:p>
    <w:p w14:paraId="143C2232" w14:textId="77777777" w:rsidR="000B7A28" w:rsidRPr="000B7A28" w:rsidRDefault="000B7A28" w:rsidP="00106AE0">
      <w:pPr>
        <w:rPr>
          <w:rFonts w:asciiTheme="minorHAnsi" w:hAnsiTheme="minorHAnsi"/>
          <w:sz w:val="22"/>
          <w:szCs w:val="22"/>
          <w:lang w:val="en-AU"/>
        </w:rPr>
      </w:pPr>
    </w:p>
    <w:p w14:paraId="61F89694" w14:textId="77777777" w:rsidR="000B7A28" w:rsidRDefault="000B7A28" w:rsidP="00106AE0">
      <w:pPr>
        <w:rPr>
          <w:rFonts w:asciiTheme="minorHAnsi" w:hAnsiTheme="minorHAnsi"/>
          <w:sz w:val="22"/>
          <w:szCs w:val="22"/>
          <w:lang w:val="en-AU"/>
        </w:rPr>
      </w:pPr>
    </w:p>
    <w:p w14:paraId="18B5915F" w14:textId="77777777" w:rsidR="000B7A28" w:rsidRDefault="000B7A28" w:rsidP="00106AE0">
      <w:pPr>
        <w:rPr>
          <w:rFonts w:asciiTheme="minorHAnsi" w:hAnsiTheme="minorHAnsi"/>
          <w:sz w:val="22"/>
          <w:szCs w:val="22"/>
          <w:lang w:val="en-AU"/>
        </w:rPr>
      </w:pPr>
    </w:p>
    <w:p w14:paraId="2719B912" w14:textId="77777777" w:rsidR="000A2F37" w:rsidRDefault="000A2F37" w:rsidP="00106AE0">
      <w:pPr>
        <w:rPr>
          <w:rFonts w:asciiTheme="minorHAnsi" w:hAnsiTheme="minorHAnsi"/>
          <w:sz w:val="22"/>
          <w:szCs w:val="22"/>
          <w:lang w:val="en-AU"/>
        </w:rPr>
      </w:pPr>
    </w:p>
    <w:p w14:paraId="6EBCF1ED" w14:textId="77777777" w:rsidR="00796791" w:rsidRDefault="00796791" w:rsidP="00106AE0">
      <w:pPr>
        <w:rPr>
          <w:rFonts w:asciiTheme="minorHAnsi" w:hAnsiTheme="minorHAnsi"/>
          <w:sz w:val="22"/>
          <w:szCs w:val="22"/>
          <w:lang w:val="en-AU"/>
        </w:rPr>
      </w:pPr>
    </w:p>
    <w:p w14:paraId="20DDBDB5" w14:textId="77777777" w:rsidR="000A2F37" w:rsidRDefault="000A2F37" w:rsidP="00106AE0">
      <w:pPr>
        <w:rPr>
          <w:rFonts w:asciiTheme="minorHAnsi" w:hAnsiTheme="minorHAnsi"/>
          <w:sz w:val="22"/>
          <w:szCs w:val="22"/>
          <w:lang w:val="en-AU"/>
        </w:rPr>
      </w:pPr>
    </w:p>
    <w:p w14:paraId="6ECBD42C" w14:textId="77777777" w:rsidR="000B7A28" w:rsidRDefault="000B7A28" w:rsidP="00106AE0">
      <w:pPr>
        <w:rPr>
          <w:rFonts w:asciiTheme="minorHAnsi" w:hAnsiTheme="minorHAnsi"/>
          <w:sz w:val="22"/>
          <w:szCs w:val="22"/>
          <w:lang w:val="en-AU"/>
        </w:rPr>
      </w:pPr>
      <w:r w:rsidRPr="000B7A28">
        <w:rPr>
          <w:rFonts w:asciiTheme="minorHAnsi" w:hAnsiTheme="minorHAnsi"/>
          <w:sz w:val="22"/>
          <w:szCs w:val="22"/>
          <w:lang w:val="en-AU"/>
        </w:rPr>
        <w:t>References</w:t>
      </w:r>
    </w:p>
    <w:p w14:paraId="1C9781D0" w14:textId="77777777" w:rsidR="000B7A28" w:rsidRPr="000B7A28" w:rsidRDefault="000B7A28" w:rsidP="00106AE0">
      <w:pPr>
        <w:rPr>
          <w:rFonts w:asciiTheme="minorHAnsi" w:hAnsiTheme="minorHAnsi"/>
          <w:sz w:val="22"/>
          <w:szCs w:val="22"/>
          <w:lang w:val="en-AU"/>
        </w:rPr>
      </w:pPr>
    </w:p>
    <w:p w14:paraId="7B5BDCB4" w14:textId="77777777" w:rsidR="000B7A28" w:rsidRPr="000B7A28" w:rsidRDefault="000B7A28" w:rsidP="00106AE0">
      <w:pPr>
        <w:rPr>
          <w:rFonts w:asciiTheme="minorHAnsi" w:hAnsiTheme="minorHAnsi"/>
          <w:sz w:val="22"/>
          <w:szCs w:val="22"/>
          <w:lang w:val="en-AU"/>
        </w:rPr>
      </w:pPr>
    </w:p>
    <w:p w14:paraId="0E2EE4EC" w14:textId="77777777" w:rsidR="000B7A28" w:rsidRPr="000B7A28"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fr-FR"/>
        </w:rPr>
        <w:t xml:space="preserve">Borrelli, S., Dattolo, C., &amp; Nespoli, A. (2015). </w:t>
      </w:r>
      <w:r w:rsidRPr="000B7A28">
        <w:rPr>
          <w:rFonts w:asciiTheme="minorHAnsi" w:hAnsiTheme="minorHAnsi"/>
          <w:sz w:val="22"/>
          <w:szCs w:val="22"/>
          <w:lang w:val="en-AU"/>
        </w:rPr>
        <w:t xml:space="preserve">Midwives' approaches to early pushing urge in labour. British Journal </w:t>
      </w:r>
      <w:proofErr w:type="gramStart"/>
      <w:r w:rsidRPr="000B7A28">
        <w:rPr>
          <w:rFonts w:asciiTheme="minorHAnsi" w:hAnsiTheme="minorHAnsi"/>
          <w:sz w:val="22"/>
          <w:szCs w:val="22"/>
          <w:lang w:val="en-AU"/>
        </w:rPr>
        <w:t>Of</w:t>
      </w:r>
      <w:proofErr w:type="gramEnd"/>
      <w:r w:rsidRPr="000B7A28">
        <w:rPr>
          <w:rFonts w:asciiTheme="minorHAnsi" w:hAnsiTheme="minorHAnsi"/>
          <w:sz w:val="22"/>
          <w:szCs w:val="22"/>
          <w:lang w:val="en-AU"/>
        </w:rPr>
        <w:t xml:space="preserve"> Midwifery, 23(9), 640-646. doi: 10.12968/bjom.2015.23.9.640</w:t>
      </w:r>
    </w:p>
    <w:p w14:paraId="3810EB35" w14:textId="77777777" w:rsidR="000B7A28" w:rsidRPr="000B7A28" w:rsidRDefault="000B7A28" w:rsidP="000A2F37">
      <w:pPr>
        <w:ind w:left="720" w:hanging="720"/>
        <w:rPr>
          <w:rFonts w:asciiTheme="minorHAnsi" w:hAnsiTheme="minorHAnsi"/>
          <w:sz w:val="22"/>
          <w:szCs w:val="22"/>
          <w:lang w:val="en-AU"/>
        </w:rPr>
      </w:pPr>
    </w:p>
    <w:p w14:paraId="7C1C0FF1" w14:textId="77777777" w:rsidR="000B7A28" w:rsidRPr="000B7A28"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en-AU"/>
        </w:rPr>
        <w:t>Borrelli, S., Locatelli, A., &amp; Nespoli, A. (2013). Early pushing urge in labour and midwifery practice: A prospective observational study at an Italian maternity hospital. Midwifery, 29(8), 871-875. doi: 10.1016/j.midw.2012.09.010</w:t>
      </w:r>
    </w:p>
    <w:p w14:paraId="5B9C7986" w14:textId="77777777" w:rsidR="000B7A28" w:rsidRPr="000B7A28" w:rsidRDefault="000B7A28" w:rsidP="000A2F37">
      <w:pPr>
        <w:ind w:left="720" w:hanging="720"/>
        <w:rPr>
          <w:rFonts w:asciiTheme="minorHAnsi" w:hAnsiTheme="minorHAnsi"/>
          <w:sz w:val="22"/>
          <w:szCs w:val="22"/>
          <w:lang w:val="en-AU"/>
        </w:rPr>
      </w:pPr>
    </w:p>
    <w:p w14:paraId="1CEEF5F4" w14:textId="77777777" w:rsidR="000B7A28" w:rsidRPr="000B7A28"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en-AU"/>
        </w:rPr>
        <w:t xml:space="preserve">Celesia, M., Nespoli, A., &amp; Borrelli, S. (2016). Childbearing Women’s Experiences of Early Pushing Urge. International Journal </w:t>
      </w:r>
      <w:proofErr w:type="gramStart"/>
      <w:r w:rsidRPr="000B7A28">
        <w:rPr>
          <w:rFonts w:asciiTheme="minorHAnsi" w:hAnsiTheme="minorHAnsi"/>
          <w:sz w:val="22"/>
          <w:szCs w:val="22"/>
          <w:lang w:val="en-AU"/>
        </w:rPr>
        <w:t>Of</w:t>
      </w:r>
      <w:proofErr w:type="gramEnd"/>
      <w:r w:rsidRPr="000B7A28">
        <w:rPr>
          <w:rFonts w:asciiTheme="minorHAnsi" w:hAnsiTheme="minorHAnsi"/>
          <w:sz w:val="22"/>
          <w:szCs w:val="22"/>
          <w:lang w:val="en-AU"/>
        </w:rPr>
        <w:t xml:space="preserve"> Childbirth, 6(1), 19-26. doi: 10.1891/2156-5287.6.1.19</w:t>
      </w:r>
    </w:p>
    <w:p w14:paraId="165E572D" w14:textId="77777777" w:rsidR="000B7A28" w:rsidRPr="000B7A28" w:rsidRDefault="000B7A28" w:rsidP="000A2F37">
      <w:pPr>
        <w:ind w:left="720" w:hanging="720"/>
        <w:rPr>
          <w:rFonts w:asciiTheme="minorHAnsi" w:hAnsiTheme="minorHAnsi"/>
          <w:sz w:val="22"/>
          <w:szCs w:val="22"/>
          <w:lang w:val="en-AU"/>
        </w:rPr>
      </w:pPr>
    </w:p>
    <w:p w14:paraId="3C432267" w14:textId="77777777" w:rsidR="000B7A28" w:rsidRPr="000B7A28"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en-AU"/>
        </w:rPr>
        <w:t>Chapman, V., &amp; Charles, C. (2018). The midwife's labour and birth handbook (4th ed.). Hoboken: John Wiley &amp; Sons.</w:t>
      </w:r>
    </w:p>
    <w:p w14:paraId="768BA713" w14:textId="77777777" w:rsidR="000B7A28" w:rsidRPr="000B7A28" w:rsidRDefault="000B7A28" w:rsidP="000A2F37">
      <w:pPr>
        <w:ind w:left="720" w:hanging="720"/>
        <w:rPr>
          <w:rFonts w:asciiTheme="minorHAnsi" w:hAnsiTheme="minorHAnsi"/>
          <w:sz w:val="22"/>
          <w:szCs w:val="22"/>
          <w:lang w:val="en-AU"/>
        </w:rPr>
      </w:pPr>
    </w:p>
    <w:p w14:paraId="6695860D" w14:textId="77777777" w:rsidR="000B7A28" w:rsidRPr="000B7A28"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en-AU"/>
        </w:rPr>
        <w:t>Downe, S., 2008. The early pushing urge: practice and discourse. In: Downe, S. (Ed.), Normal Childbirth: Evidence and Debate, vol. 8</w:t>
      </w:r>
    </w:p>
    <w:p w14:paraId="11448E32" w14:textId="77777777" w:rsidR="000B7A28" w:rsidRPr="000B7A28" w:rsidRDefault="000B7A28" w:rsidP="000A2F37">
      <w:pPr>
        <w:ind w:left="720" w:hanging="720"/>
        <w:rPr>
          <w:rFonts w:asciiTheme="minorHAnsi" w:hAnsiTheme="minorHAnsi"/>
          <w:sz w:val="22"/>
          <w:szCs w:val="22"/>
          <w:lang w:val="en-AU"/>
        </w:rPr>
      </w:pPr>
    </w:p>
    <w:p w14:paraId="75FEA29F" w14:textId="5DBCB383" w:rsidR="00315D7D" w:rsidRDefault="00315D7D" w:rsidP="000A2F37">
      <w:pPr>
        <w:pStyle w:val="Bibliography"/>
        <w:spacing w:line="240" w:lineRule="auto"/>
        <w:rPr>
          <w:rFonts w:ascii="Calibri" w:eastAsia="Times New Roman" w:hAnsiTheme="minorHAnsi" w:cs="Times New Roman"/>
          <w:sz w:val="22"/>
        </w:rPr>
      </w:pPr>
      <w:r w:rsidRPr="00315D7D">
        <w:rPr>
          <w:rFonts w:ascii="Calibri" w:eastAsia="Times New Roman" w:hAnsiTheme="minorHAnsi" w:cs="Times New Roman"/>
          <w:sz w:val="22"/>
        </w:rPr>
        <w:t xml:space="preserve">National Institute for Health and Care Excellence. (2017). </w:t>
      </w:r>
      <w:r w:rsidRPr="00315D7D">
        <w:rPr>
          <w:rFonts w:ascii="Calibri" w:eastAsia="Times New Roman" w:hAnsiTheme="minorHAnsi" w:cs="Times New Roman"/>
          <w:i/>
          <w:iCs/>
          <w:sz w:val="22"/>
        </w:rPr>
        <w:t>Intrapartum care for healthy women and babies</w:t>
      </w:r>
      <w:r w:rsidRPr="00315D7D">
        <w:rPr>
          <w:rFonts w:ascii="Calibri" w:eastAsia="Times New Roman" w:hAnsiTheme="minorHAnsi" w:cs="Times New Roman"/>
          <w:sz w:val="22"/>
        </w:rPr>
        <w:t xml:space="preserve">. </w:t>
      </w:r>
      <w:hyperlink r:id="rId6" w:history="1">
        <w:r w:rsidR="000A2F37" w:rsidRPr="00564FE1">
          <w:rPr>
            <w:rStyle w:val="Hyperlink"/>
            <w:rFonts w:ascii="Calibri" w:eastAsia="Times New Roman" w:hAnsiTheme="minorHAnsi" w:cs="Times New Roman"/>
            <w:sz w:val="22"/>
          </w:rPr>
          <w:t>https://www.nice.org.uk/guidance/cg190</w:t>
        </w:r>
      </w:hyperlink>
    </w:p>
    <w:p w14:paraId="314C5D0B" w14:textId="77777777" w:rsidR="000A2F37" w:rsidRPr="000A2F37" w:rsidRDefault="000A2F37" w:rsidP="000A2F37"/>
    <w:p w14:paraId="60FB408B" w14:textId="33A08910" w:rsidR="00315D7D"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en-AU"/>
        </w:rPr>
        <w:t xml:space="preserve">Perez-Botella, M., &amp; Downe, S. (2006). Stories as evidence: the premature urge to push. British Journal </w:t>
      </w:r>
      <w:proofErr w:type="gramStart"/>
      <w:r w:rsidRPr="000B7A28">
        <w:rPr>
          <w:rFonts w:asciiTheme="minorHAnsi" w:hAnsiTheme="minorHAnsi"/>
          <w:sz w:val="22"/>
          <w:szCs w:val="22"/>
          <w:lang w:val="en-AU"/>
        </w:rPr>
        <w:t>Of</w:t>
      </w:r>
      <w:proofErr w:type="gramEnd"/>
      <w:r w:rsidRPr="000B7A28">
        <w:rPr>
          <w:rFonts w:asciiTheme="minorHAnsi" w:hAnsiTheme="minorHAnsi"/>
          <w:sz w:val="22"/>
          <w:szCs w:val="22"/>
          <w:lang w:val="en-AU"/>
        </w:rPr>
        <w:t xml:space="preserve"> Midwifery, 14(11), 36-642. doi: 10.12968/bjom.2006.14.11.22249</w:t>
      </w:r>
      <w:r w:rsidR="00220941">
        <w:rPr>
          <w:rFonts w:asciiTheme="minorHAnsi" w:hAnsiTheme="minorHAnsi"/>
          <w:sz w:val="22"/>
          <w:szCs w:val="22"/>
          <w:lang w:val="en-AU"/>
        </w:rPr>
        <w:t xml:space="preserve"> </w:t>
      </w:r>
    </w:p>
    <w:p w14:paraId="0C96BDAE" w14:textId="77777777" w:rsidR="00315D7D" w:rsidRDefault="00315D7D" w:rsidP="000A2F37">
      <w:pPr>
        <w:ind w:left="720" w:hanging="720"/>
        <w:rPr>
          <w:rFonts w:ascii="Calibri" w:eastAsia="Times New Roman" w:hAnsiTheme="minorHAnsi" w:cs="Times New Roman"/>
          <w:sz w:val="22"/>
        </w:rPr>
      </w:pPr>
    </w:p>
    <w:p w14:paraId="510E3589" w14:textId="0DC7359B" w:rsidR="000B7A28" w:rsidRPr="000B7A28" w:rsidRDefault="000B7A28" w:rsidP="000A2F37">
      <w:pPr>
        <w:ind w:left="720" w:hanging="720"/>
        <w:rPr>
          <w:rFonts w:asciiTheme="minorHAnsi" w:hAnsiTheme="minorHAnsi"/>
          <w:sz w:val="22"/>
          <w:szCs w:val="22"/>
          <w:lang w:val="en-AU"/>
        </w:rPr>
      </w:pPr>
      <w:r w:rsidRPr="000B7A28">
        <w:rPr>
          <w:rFonts w:asciiTheme="minorHAnsi" w:hAnsiTheme="minorHAnsi"/>
          <w:sz w:val="22"/>
          <w:szCs w:val="22"/>
          <w:lang w:val="en-AU"/>
        </w:rPr>
        <w:t>Reed, R. (2021). Reclaiming childbirth as a rite of passage (1st ed., pp. 23-24). Yandina: Word Witch.</w:t>
      </w:r>
    </w:p>
    <w:p w14:paraId="2928B8F0" w14:textId="77777777" w:rsidR="000B7A28" w:rsidRPr="000B7A28" w:rsidRDefault="000B7A28" w:rsidP="000A2F37">
      <w:pPr>
        <w:ind w:left="720" w:hanging="720"/>
        <w:rPr>
          <w:rFonts w:asciiTheme="minorHAnsi" w:hAnsiTheme="minorHAnsi"/>
          <w:sz w:val="22"/>
          <w:szCs w:val="22"/>
          <w:lang w:val="en-AU"/>
        </w:rPr>
      </w:pPr>
    </w:p>
    <w:p w14:paraId="363411F0" w14:textId="41F6C997" w:rsidR="00220941" w:rsidRPr="0015025B" w:rsidRDefault="00220941" w:rsidP="00220941">
      <w:pPr>
        <w:ind w:left="720" w:hanging="720"/>
        <w:rPr>
          <w:rFonts w:asciiTheme="minorHAnsi" w:hAnsiTheme="minorHAnsi"/>
          <w:sz w:val="22"/>
          <w:szCs w:val="22"/>
        </w:rPr>
      </w:pPr>
      <w:r>
        <w:rPr>
          <w:rFonts w:asciiTheme="minorHAnsi" w:hAnsiTheme="minorHAnsi"/>
          <w:sz w:val="22"/>
          <w:szCs w:val="22"/>
        </w:rPr>
        <w:t xml:space="preserve">Reed, R. &amp; James, K. (Host). (2021, February 10). </w:t>
      </w:r>
      <w:r w:rsidRPr="0005001C">
        <w:rPr>
          <w:rFonts w:asciiTheme="minorHAnsi" w:hAnsiTheme="minorHAnsi"/>
          <w:sz w:val="22"/>
          <w:szCs w:val="22"/>
        </w:rPr>
        <w:t>Pushing and cervixes</w:t>
      </w:r>
      <w:r>
        <w:rPr>
          <w:rFonts w:asciiTheme="minorHAnsi" w:hAnsiTheme="minorHAnsi"/>
          <w:sz w:val="22"/>
          <w:szCs w:val="22"/>
        </w:rPr>
        <w:t xml:space="preserve"> (Season 2, Episode 3). [Audio podcast episode]. In </w:t>
      </w:r>
      <w:proofErr w:type="gramStart"/>
      <w:r>
        <w:rPr>
          <w:rFonts w:asciiTheme="minorHAnsi" w:hAnsiTheme="minorHAnsi"/>
          <w:i/>
          <w:sz w:val="22"/>
          <w:szCs w:val="22"/>
        </w:rPr>
        <w:t>The</w:t>
      </w:r>
      <w:proofErr w:type="gramEnd"/>
      <w:r>
        <w:rPr>
          <w:rFonts w:asciiTheme="minorHAnsi" w:hAnsiTheme="minorHAnsi"/>
          <w:i/>
          <w:sz w:val="22"/>
          <w:szCs w:val="22"/>
        </w:rPr>
        <w:t xml:space="preserve"> Midwives’ Cauldron</w:t>
      </w:r>
      <w:r>
        <w:rPr>
          <w:rFonts w:asciiTheme="minorHAnsi" w:hAnsiTheme="minorHAnsi"/>
          <w:sz w:val="22"/>
          <w:szCs w:val="22"/>
        </w:rPr>
        <w:t xml:space="preserve">. </w:t>
      </w:r>
      <w:hyperlink r:id="rId7" w:history="1">
        <w:r w:rsidRPr="00564FE1">
          <w:rPr>
            <w:rStyle w:val="Hyperlink"/>
            <w:rFonts w:asciiTheme="minorHAnsi" w:hAnsiTheme="minorHAnsi"/>
            <w:sz w:val="22"/>
            <w:szCs w:val="22"/>
          </w:rPr>
          <w:t>https://themidwivescauldron.buzzsprout.com/1178486/7790152-pushing-and-cervixes</w:t>
        </w:r>
      </w:hyperlink>
      <w:r>
        <w:rPr>
          <w:rFonts w:asciiTheme="minorHAnsi" w:hAnsiTheme="minorHAnsi"/>
          <w:sz w:val="22"/>
          <w:szCs w:val="22"/>
        </w:rPr>
        <w:t xml:space="preserve"> </w:t>
      </w:r>
    </w:p>
    <w:p w14:paraId="06A0F2F1" w14:textId="77777777" w:rsidR="00220941" w:rsidRDefault="00220941" w:rsidP="00220941">
      <w:pPr>
        <w:ind w:left="720" w:hanging="720"/>
        <w:rPr>
          <w:rFonts w:ascii="Calibri" w:eastAsia="Times New Roman" w:hAnsiTheme="minorHAnsi" w:cs="Times New Roman"/>
          <w:sz w:val="22"/>
        </w:rPr>
      </w:pPr>
    </w:p>
    <w:p w14:paraId="3A2982CC" w14:textId="77777777" w:rsidR="00220941" w:rsidRDefault="00220941" w:rsidP="00220941">
      <w:pPr>
        <w:ind w:left="720" w:hanging="720"/>
        <w:rPr>
          <w:rFonts w:ascii="Calibri" w:eastAsia="Times New Roman" w:hAnsiTheme="minorHAnsi" w:cs="Times New Roman"/>
          <w:sz w:val="22"/>
        </w:rPr>
      </w:pPr>
      <w:r w:rsidRPr="00315D7D">
        <w:rPr>
          <w:rFonts w:ascii="Calibri" w:eastAsia="Times New Roman" w:hAnsiTheme="minorHAnsi" w:cs="Times New Roman"/>
          <w:sz w:val="22"/>
        </w:rPr>
        <w:t xml:space="preserve">Reed, R., Sharman, R., &amp; Inglis, C. (2017). Women’s descriptions of childbirth trauma relating to care provider actions and interactions. </w:t>
      </w:r>
      <w:r w:rsidRPr="00315D7D">
        <w:rPr>
          <w:rFonts w:ascii="Calibri" w:eastAsia="Times New Roman" w:hAnsiTheme="minorHAnsi" w:cs="Times New Roman"/>
          <w:i/>
          <w:iCs/>
          <w:sz w:val="22"/>
        </w:rPr>
        <w:t>BMC Pregnancy and Childbirth</w:t>
      </w:r>
      <w:r w:rsidRPr="00315D7D">
        <w:rPr>
          <w:rFonts w:ascii="Calibri" w:eastAsia="Times New Roman" w:hAnsiTheme="minorHAnsi" w:cs="Times New Roman"/>
          <w:sz w:val="22"/>
        </w:rPr>
        <w:t xml:space="preserve">, </w:t>
      </w:r>
      <w:r w:rsidRPr="00315D7D">
        <w:rPr>
          <w:rFonts w:ascii="Calibri" w:eastAsia="Times New Roman" w:hAnsiTheme="minorHAnsi" w:cs="Times New Roman"/>
          <w:i/>
          <w:iCs/>
          <w:sz w:val="22"/>
        </w:rPr>
        <w:t>17</w:t>
      </w:r>
      <w:r w:rsidRPr="00315D7D">
        <w:rPr>
          <w:rFonts w:ascii="Calibri" w:eastAsia="Times New Roman" w:hAnsiTheme="minorHAnsi" w:cs="Times New Roman"/>
          <w:sz w:val="22"/>
        </w:rPr>
        <w:t xml:space="preserve">(1), 21. </w:t>
      </w:r>
      <w:hyperlink r:id="rId8" w:history="1">
        <w:r w:rsidRPr="00564FE1">
          <w:rPr>
            <w:rStyle w:val="Hyperlink"/>
            <w:rFonts w:ascii="Calibri" w:eastAsia="Times New Roman" w:hAnsiTheme="minorHAnsi" w:cs="Times New Roman"/>
            <w:sz w:val="22"/>
          </w:rPr>
          <w:t>https://doi.org/10.1186/s12884-016-1197-0</w:t>
        </w:r>
      </w:hyperlink>
    </w:p>
    <w:p w14:paraId="6794B75A" w14:textId="77777777" w:rsidR="00220941" w:rsidRDefault="00220941" w:rsidP="00220941">
      <w:pPr>
        <w:ind w:left="720" w:hanging="720"/>
        <w:rPr>
          <w:rFonts w:ascii="Calibri" w:eastAsia="Times New Roman" w:hAnsiTheme="minorHAnsi" w:cs="Times New Roman"/>
          <w:sz w:val="22"/>
        </w:rPr>
      </w:pPr>
    </w:p>
    <w:p w14:paraId="6324A8C6" w14:textId="0B9452CB" w:rsidR="00106AE0" w:rsidRPr="00A65B35" w:rsidRDefault="000B7A28" w:rsidP="00A65B35">
      <w:pPr>
        <w:ind w:left="720" w:hanging="720"/>
        <w:rPr>
          <w:rFonts w:asciiTheme="minorHAnsi" w:hAnsiTheme="minorHAnsi"/>
          <w:sz w:val="22"/>
          <w:szCs w:val="22"/>
          <w:lang w:val="en-AU"/>
        </w:rPr>
      </w:pPr>
      <w:r w:rsidRPr="000B7A28">
        <w:rPr>
          <w:rFonts w:asciiTheme="minorHAnsi" w:hAnsiTheme="minorHAnsi"/>
          <w:sz w:val="22"/>
          <w:szCs w:val="22"/>
          <w:lang w:val="en-AU"/>
        </w:rPr>
        <w:t>Tsao, N. (2015, January 31). Early pu</w:t>
      </w:r>
      <w:r w:rsidR="001C7F89">
        <w:rPr>
          <w:rFonts w:asciiTheme="minorHAnsi" w:hAnsiTheme="minorHAnsi"/>
          <w:sz w:val="22"/>
          <w:szCs w:val="22"/>
          <w:lang w:val="en-AU"/>
        </w:rPr>
        <w:t>shing urge before full dilation</w:t>
      </w:r>
      <w:r w:rsidRPr="000B7A28">
        <w:rPr>
          <w:rFonts w:asciiTheme="minorHAnsi" w:hAnsiTheme="minorHAnsi"/>
          <w:sz w:val="22"/>
          <w:szCs w:val="22"/>
          <w:lang w:val="en-AU"/>
        </w:rPr>
        <w:t>: a scoping review [R]. doi:</w:t>
      </w:r>
      <w:r w:rsidR="001C7F89">
        <w:rPr>
          <w:rFonts w:asciiTheme="minorHAnsi" w:hAnsiTheme="minorHAnsi"/>
          <w:sz w:val="22"/>
          <w:szCs w:val="22"/>
          <w:lang w:val="en-AU"/>
        </w:rPr>
        <w:t xml:space="preserve"> </w:t>
      </w:r>
      <w:hyperlink r:id="rId9" w:history="1">
        <w:r w:rsidR="008312FE" w:rsidRPr="00564FE1">
          <w:rPr>
            <w:rStyle w:val="Hyperlink"/>
            <w:rFonts w:asciiTheme="minorHAnsi" w:hAnsiTheme="minorHAnsi"/>
            <w:sz w:val="22"/>
            <w:szCs w:val="22"/>
            <w:lang w:val="en-AU"/>
          </w:rPr>
          <w:t>http://dx.doi.org/10.14288/1.0108912</w:t>
        </w:r>
      </w:hyperlink>
    </w:p>
    <w:sectPr w:rsidR="00106AE0" w:rsidRPr="00A65B35" w:rsidSect="000B7A28">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63BA5" w14:textId="77777777" w:rsidR="00BE6B00" w:rsidRDefault="00BE6B00" w:rsidP="000B7A28">
      <w:r>
        <w:separator/>
      </w:r>
    </w:p>
  </w:endnote>
  <w:endnote w:type="continuationSeparator" w:id="0">
    <w:p w14:paraId="315A528E" w14:textId="77777777" w:rsidR="00BE6B00" w:rsidRDefault="00BE6B00" w:rsidP="000B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E8B7" w14:textId="77777777" w:rsidR="00BE6B00" w:rsidRDefault="00BE6B00" w:rsidP="000B7A28">
      <w:r>
        <w:separator/>
      </w:r>
    </w:p>
  </w:footnote>
  <w:footnote w:type="continuationSeparator" w:id="0">
    <w:p w14:paraId="169B14E6" w14:textId="77777777" w:rsidR="00BE6B00" w:rsidRDefault="00BE6B00" w:rsidP="000B7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0536" w14:textId="77777777" w:rsidR="000B7A28" w:rsidRPr="000B7A28" w:rsidRDefault="000B7A28">
    <w:pPr>
      <w:pStyle w:val="Header"/>
      <w:rPr>
        <w:lang w:val="en-AU"/>
      </w:rPr>
    </w:pPr>
    <w:r>
      <w:rPr>
        <w:lang w:val="en-AU"/>
      </w:rPr>
      <w:t>3190627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D9"/>
    <w:rsid w:val="00015FBF"/>
    <w:rsid w:val="0005001C"/>
    <w:rsid w:val="000633BA"/>
    <w:rsid w:val="00071DC5"/>
    <w:rsid w:val="00084501"/>
    <w:rsid w:val="000A2F37"/>
    <w:rsid w:val="000B7A28"/>
    <w:rsid w:val="00106AE0"/>
    <w:rsid w:val="00111435"/>
    <w:rsid w:val="00114C1C"/>
    <w:rsid w:val="0013124D"/>
    <w:rsid w:val="001362B8"/>
    <w:rsid w:val="0015025B"/>
    <w:rsid w:val="00160AA4"/>
    <w:rsid w:val="001C7F89"/>
    <w:rsid w:val="001D1E27"/>
    <w:rsid w:val="001D77C6"/>
    <w:rsid w:val="001E6248"/>
    <w:rsid w:val="001F125F"/>
    <w:rsid w:val="0021289C"/>
    <w:rsid w:val="00220941"/>
    <w:rsid w:val="00251AED"/>
    <w:rsid w:val="002757AA"/>
    <w:rsid w:val="002C5361"/>
    <w:rsid w:val="002F2196"/>
    <w:rsid w:val="00304DD9"/>
    <w:rsid w:val="00315D7D"/>
    <w:rsid w:val="00320A1D"/>
    <w:rsid w:val="00340E81"/>
    <w:rsid w:val="00346B7E"/>
    <w:rsid w:val="003504EE"/>
    <w:rsid w:val="00353EEB"/>
    <w:rsid w:val="00363F44"/>
    <w:rsid w:val="003865D6"/>
    <w:rsid w:val="00396924"/>
    <w:rsid w:val="00396CC5"/>
    <w:rsid w:val="004106EF"/>
    <w:rsid w:val="004309F0"/>
    <w:rsid w:val="00437A78"/>
    <w:rsid w:val="00447C4F"/>
    <w:rsid w:val="004660B3"/>
    <w:rsid w:val="00475DC5"/>
    <w:rsid w:val="004B7E97"/>
    <w:rsid w:val="004E5814"/>
    <w:rsid w:val="00507F14"/>
    <w:rsid w:val="005603B2"/>
    <w:rsid w:val="005800C0"/>
    <w:rsid w:val="005B75C2"/>
    <w:rsid w:val="005D26E1"/>
    <w:rsid w:val="005F1795"/>
    <w:rsid w:val="005F7F3E"/>
    <w:rsid w:val="00645CAC"/>
    <w:rsid w:val="006A3DB5"/>
    <w:rsid w:val="00752D7A"/>
    <w:rsid w:val="00796791"/>
    <w:rsid w:val="007B719B"/>
    <w:rsid w:val="007F303F"/>
    <w:rsid w:val="008312FE"/>
    <w:rsid w:val="0087643D"/>
    <w:rsid w:val="008773BF"/>
    <w:rsid w:val="00887F96"/>
    <w:rsid w:val="008B59EC"/>
    <w:rsid w:val="008B6D63"/>
    <w:rsid w:val="008E5BAC"/>
    <w:rsid w:val="008F5707"/>
    <w:rsid w:val="009070F6"/>
    <w:rsid w:val="00923A6F"/>
    <w:rsid w:val="0093092F"/>
    <w:rsid w:val="0095410C"/>
    <w:rsid w:val="00954F1F"/>
    <w:rsid w:val="009602C5"/>
    <w:rsid w:val="009A4AAD"/>
    <w:rsid w:val="009C7855"/>
    <w:rsid w:val="00A000CC"/>
    <w:rsid w:val="00A0110D"/>
    <w:rsid w:val="00A41356"/>
    <w:rsid w:val="00A45B04"/>
    <w:rsid w:val="00A65B35"/>
    <w:rsid w:val="00A77E5A"/>
    <w:rsid w:val="00A844B5"/>
    <w:rsid w:val="00A87C1F"/>
    <w:rsid w:val="00A93102"/>
    <w:rsid w:val="00AE08C4"/>
    <w:rsid w:val="00B00733"/>
    <w:rsid w:val="00B032C0"/>
    <w:rsid w:val="00B31AB6"/>
    <w:rsid w:val="00B63429"/>
    <w:rsid w:val="00B65397"/>
    <w:rsid w:val="00B75905"/>
    <w:rsid w:val="00B833FB"/>
    <w:rsid w:val="00BA6829"/>
    <w:rsid w:val="00BC5455"/>
    <w:rsid w:val="00BD6633"/>
    <w:rsid w:val="00BE6B00"/>
    <w:rsid w:val="00BF5F90"/>
    <w:rsid w:val="00C219FB"/>
    <w:rsid w:val="00C621FF"/>
    <w:rsid w:val="00C6537E"/>
    <w:rsid w:val="00C77514"/>
    <w:rsid w:val="00CB59D6"/>
    <w:rsid w:val="00CE1C5F"/>
    <w:rsid w:val="00CE3453"/>
    <w:rsid w:val="00CE42AC"/>
    <w:rsid w:val="00D16FC1"/>
    <w:rsid w:val="00D73015"/>
    <w:rsid w:val="00D76F98"/>
    <w:rsid w:val="00DC5614"/>
    <w:rsid w:val="00DE6739"/>
    <w:rsid w:val="00DF18F2"/>
    <w:rsid w:val="00E24C9C"/>
    <w:rsid w:val="00EA2CE3"/>
    <w:rsid w:val="00EC5277"/>
    <w:rsid w:val="00ED408D"/>
    <w:rsid w:val="00F27B46"/>
    <w:rsid w:val="00F32BC5"/>
    <w:rsid w:val="00F60D3D"/>
    <w:rsid w:val="00F77552"/>
    <w:rsid w:val="00FD6B43"/>
    <w:rsid w:val="00FD6E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CA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7A28"/>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0B7A28"/>
    <w:rPr>
      <w:rFonts w:asciiTheme="minorHAnsi" w:eastAsiaTheme="minorEastAsia" w:hAnsiTheme="minorHAnsi"/>
      <w:sz w:val="22"/>
      <w:szCs w:val="22"/>
      <w:lang w:val="en-US" w:eastAsia="zh-CN"/>
    </w:rPr>
  </w:style>
  <w:style w:type="paragraph" w:styleId="Header">
    <w:name w:val="header"/>
    <w:basedOn w:val="Normal"/>
    <w:link w:val="HeaderChar"/>
    <w:uiPriority w:val="99"/>
    <w:unhideWhenUsed/>
    <w:rsid w:val="000B7A28"/>
    <w:pPr>
      <w:tabs>
        <w:tab w:val="center" w:pos="4513"/>
        <w:tab w:val="right" w:pos="9026"/>
      </w:tabs>
    </w:pPr>
  </w:style>
  <w:style w:type="character" w:customStyle="1" w:styleId="HeaderChar">
    <w:name w:val="Header Char"/>
    <w:basedOn w:val="DefaultParagraphFont"/>
    <w:link w:val="Header"/>
    <w:uiPriority w:val="99"/>
    <w:rsid w:val="000B7A28"/>
  </w:style>
  <w:style w:type="paragraph" w:styleId="Footer">
    <w:name w:val="footer"/>
    <w:basedOn w:val="Normal"/>
    <w:link w:val="FooterChar"/>
    <w:uiPriority w:val="99"/>
    <w:unhideWhenUsed/>
    <w:rsid w:val="000B7A28"/>
    <w:pPr>
      <w:tabs>
        <w:tab w:val="center" w:pos="4513"/>
        <w:tab w:val="right" w:pos="9026"/>
      </w:tabs>
    </w:pPr>
  </w:style>
  <w:style w:type="character" w:customStyle="1" w:styleId="FooterChar">
    <w:name w:val="Footer Char"/>
    <w:basedOn w:val="DefaultParagraphFont"/>
    <w:link w:val="Footer"/>
    <w:uiPriority w:val="99"/>
    <w:rsid w:val="000B7A28"/>
  </w:style>
  <w:style w:type="character" w:styleId="Hyperlink">
    <w:name w:val="Hyperlink"/>
    <w:basedOn w:val="DefaultParagraphFont"/>
    <w:uiPriority w:val="99"/>
    <w:unhideWhenUsed/>
    <w:rsid w:val="008312FE"/>
    <w:rPr>
      <w:color w:val="0563C1" w:themeColor="hyperlink"/>
      <w:u w:val="single"/>
    </w:rPr>
  </w:style>
  <w:style w:type="paragraph" w:styleId="Bibliography">
    <w:name w:val="Bibliography"/>
    <w:basedOn w:val="Normal"/>
    <w:next w:val="Normal"/>
    <w:uiPriority w:val="37"/>
    <w:unhideWhenUsed/>
    <w:rsid w:val="00315D7D"/>
    <w:pPr>
      <w:spacing w:line="480" w:lineRule="auto"/>
      <w:ind w:left="720" w:hanging="720"/>
    </w:pPr>
  </w:style>
  <w:style w:type="character" w:styleId="Emphasis">
    <w:name w:val="Emphasis"/>
    <w:basedOn w:val="DefaultParagraphFont"/>
    <w:uiPriority w:val="20"/>
    <w:qFormat/>
    <w:rsid w:val="008E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5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ice.org.uk/guidance/cg190" TargetMode="External"/><Relationship Id="rId7" Type="http://schemas.openxmlformats.org/officeDocument/2006/relationships/hyperlink" Target="https://themidwivescauldron.buzzsprout.com/1178486/7790152-pushing-and-cervixes" TargetMode="External"/><Relationship Id="rId8" Type="http://schemas.openxmlformats.org/officeDocument/2006/relationships/hyperlink" Target="https://doi.org/10.1186/s12884-016-1197-0" TargetMode="External"/><Relationship Id="rId9" Type="http://schemas.openxmlformats.org/officeDocument/2006/relationships/hyperlink" Target="http://dx.doi.org/10.14288/1.010891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Conference Abstract and reference list draft</vt:lpstr>
    </vt:vector>
  </TitlesOfParts>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Abstract and reference list Final</dc:title>
  <dc:subject>Poster</dc:subject>
  <dc:creator>3190627</dc:creator>
  <cp:keywords/>
  <dc:description/>
  <cp:lastModifiedBy>Megan Wilkes</cp:lastModifiedBy>
  <cp:revision>4</cp:revision>
  <dcterms:created xsi:type="dcterms:W3CDTF">2021-08-25T11:55:00Z</dcterms:created>
  <dcterms:modified xsi:type="dcterms:W3CDTF">2021-08-25T12:07:00Z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id="ByaJZhyg"/&gt;&lt;style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